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FC1" w:rsidRPr="001E7DC9" w:rsidRDefault="00B20FC1" w:rsidP="00A05F96">
      <w:pPr>
        <w:spacing w:after="0" w:line="360" w:lineRule="auto"/>
        <w:ind w:firstLine="709"/>
        <w:jc w:val="right"/>
        <w:rPr>
          <w:rFonts w:ascii="Times New Roman" w:hAnsi="Times New Roman"/>
          <w:b/>
          <w:kern w:val="0"/>
          <w:sz w:val="28"/>
          <w:szCs w:val="28"/>
          <w:lang w:eastAsia="ru-RU"/>
        </w:rPr>
      </w:pPr>
      <w:r w:rsidRPr="001E7DC9">
        <w:rPr>
          <w:rFonts w:ascii="Times New Roman" w:hAnsi="Times New Roman"/>
          <w:b/>
          <w:kern w:val="0"/>
          <w:sz w:val="28"/>
          <w:szCs w:val="28"/>
          <w:lang w:eastAsia="ru-RU"/>
        </w:rPr>
        <w:t>В. Калінчик, С. Пухальський</w:t>
      </w:r>
    </w:p>
    <w:p w:rsidR="00B20FC1" w:rsidRPr="001E7DC9" w:rsidRDefault="00B20FC1" w:rsidP="00FA63AE">
      <w:pPr>
        <w:spacing w:after="0" w:line="360" w:lineRule="auto"/>
        <w:ind w:firstLine="709"/>
        <w:jc w:val="right"/>
        <w:rPr>
          <w:rFonts w:ascii="Times New Roman" w:hAnsi="Times New Roman"/>
          <w:b/>
          <w:color w:val="000000"/>
          <w:kern w:val="0"/>
          <w:sz w:val="28"/>
          <w:szCs w:val="28"/>
          <w:lang w:eastAsia="ru-RU"/>
        </w:rPr>
      </w:pPr>
      <w:r w:rsidRPr="001E7DC9">
        <w:rPr>
          <w:rFonts w:ascii="Times New Roman" w:hAnsi="Times New Roman"/>
          <w:b/>
          <w:color w:val="000000"/>
          <w:kern w:val="0"/>
          <w:sz w:val="28"/>
          <w:szCs w:val="28"/>
          <w:lang w:eastAsia="ru-RU"/>
        </w:rPr>
        <w:t xml:space="preserve">(Київ, Україна) </w:t>
      </w:r>
    </w:p>
    <w:p w:rsidR="00B20FC1" w:rsidRDefault="00B20FC1" w:rsidP="00A05F96">
      <w:pPr>
        <w:pStyle w:val="ListParagraph"/>
        <w:spacing w:after="0" w:line="360" w:lineRule="auto"/>
        <w:ind w:left="1129"/>
        <w:jc w:val="center"/>
        <w:rPr>
          <w:rFonts w:ascii="Times New Roman" w:hAnsi="Times New Roman"/>
          <w:b/>
          <w:bCs/>
          <w:sz w:val="28"/>
          <w:szCs w:val="28"/>
        </w:rPr>
      </w:pPr>
    </w:p>
    <w:p w:rsidR="00B20FC1" w:rsidRPr="006C07D8" w:rsidRDefault="00B20FC1" w:rsidP="00A05F96">
      <w:pPr>
        <w:pStyle w:val="ListParagraph"/>
        <w:spacing w:after="0" w:line="360" w:lineRule="auto"/>
        <w:ind w:left="1129"/>
        <w:jc w:val="center"/>
        <w:rPr>
          <w:rFonts w:ascii="Times New Roman" w:hAnsi="Times New Roman"/>
          <w:b/>
          <w:bCs/>
          <w:sz w:val="28"/>
          <w:szCs w:val="28"/>
        </w:rPr>
      </w:pPr>
      <w:r w:rsidRPr="006C07D8">
        <w:rPr>
          <w:rFonts w:ascii="Times New Roman" w:hAnsi="Times New Roman"/>
          <w:b/>
          <w:bCs/>
          <w:sz w:val="28"/>
          <w:szCs w:val="28"/>
        </w:rPr>
        <w:t>СУЧАСНИЙ СТАН РОЗВИТКУ АВТОНОМНИХ ГІБРИДНИХ ЕНЕРГОСИСТЕМ</w:t>
      </w:r>
    </w:p>
    <w:p w:rsidR="00B20FC1" w:rsidRPr="006C07D8" w:rsidRDefault="00B20FC1" w:rsidP="00A05F96">
      <w:pPr>
        <w:pStyle w:val="1"/>
      </w:pPr>
      <w:r w:rsidRPr="006C07D8">
        <w:t>Глобальні трансформаційні процеси в енергетиці зумовлюють перехід від традиційної централізованої моделі електропостачання до децентралізованих систем генерації, у яких значну частку займають відновлювальні джерела енергії. Зростання вартості викопного палива, підвищення екологічних вимог, необхідність скорочення викидів парникових газів та забезпечення енергетичної незалежності стимулюють розвиток автономних гібридних енергосистем як альтернативи або доповнення до централізованих мереж.</w:t>
      </w:r>
    </w:p>
    <w:p w:rsidR="00B20FC1" w:rsidRPr="006C07D8" w:rsidRDefault="00B20FC1" w:rsidP="00A05F96">
      <w:pPr>
        <w:pStyle w:val="1"/>
      </w:pPr>
      <w:r w:rsidRPr="006C07D8">
        <w:t>Особливої актуальності автономні системи набули в умовах підвищених вимог до енергетичної стійкості та безперебійності електропостачання. У разі аварій у магістральних мережах або відсутності можливості підключення до централізованої інфраструктури саме локальні гібридні комплекси здатні забезпечити стабільну роботу споживачів. Це визначає їх стратегічну роль у розвитку сучасної енергетики.</w:t>
      </w:r>
    </w:p>
    <w:p w:rsidR="00B20FC1" w:rsidRPr="006C07D8" w:rsidRDefault="00B20FC1" w:rsidP="00A05F96">
      <w:pPr>
        <w:pStyle w:val="1"/>
      </w:pPr>
      <w:r w:rsidRPr="006C07D8">
        <w:t>Автономна гібридна енергосистема [1] є складною багатокомпонентною технічною системою, що функціонує на основі інтеграції декількох джерел електроенергії та накопичувачів у межах єдиного контуру керування. Її принципова особливість полягає в забезпеченні енергетичного балансу без постійної підтримки з боку зовнішньої мережі. Ефективність такої системи визначається не лише технічними параметрами окремих елементів, а й здатністю забезпечити оптимальний розподіл потоків потужності між ними.</w:t>
      </w:r>
    </w:p>
    <w:p w:rsidR="00B20FC1" w:rsidRPr="006C07D8" w:rsidRDefault="00B20FC1" w:rsidP="00A05F96">
      <w:pPr>
        <w:pStyle w:val="1"/>
      </w:pPr>
      <w:r w:rsidRPr="006C07D8">
        <w:t>Принципова схема автономної гібридної енергосистеми наведена на рисунку 1.</w:t>
      </w:r>
    </w:p>
    <w:p w:rsidR="00B20FC1" w:rsidRPr="006C07D8" w:rsidRDefault="00B20FC1" w:rsidP="00A05F96">
      <w:pPr>
        <w:ind w:firstLine="142"/>
        <w:jc w:val="center"/>
      </w:pPr>
      <w:r w:rsidRPr="009C3966">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4" o:spid="_x0000_i1025" type="#_x0000_t75" style="width:460.5pt;height:259.5pt;visibility:visible">
            <v:imagedata r:id="rId5" o:title=""/>
          </v:shape>
        </w:pict>
      </w:r>
    </w:p>
    <w:p w:rsidR="00B20FC1" w:rsidRPr="006C07D8" w:rsidRDefault="00B20FC1" w:rsidP="00A05F96">
      <w:pPr>
        <w:pStyle w:val="a0"/>
        <w:ind w:left="0"/>
      </w:pPr>
      <w:r w:rsidRPr="006C07D8">
        <w:t xml:space="preserve">Рисунок 1 – Принципова схема автономної гібридної енергосистеми </w:t>
      </w:r>
    </w:p>
    <w:p w:rsidR="00B20FC1" w:rsidRPr="006C07D8" w:rsidRDefault="00B20FC1" w:rsidP="00A05F96">
      <w:pPr>
        <w:pStyle w:val="1"/>
      </w:pPr>
      <w:r w:rsidRPr="006C07D8">
        <w:t>До складу сучасної автономної гібридної енергосистеми, як правило, входять:</w:t>
      </w:r>
    </w:p>
    <w:p w:rsidR="00B20FC1" w:rsidRPr="006C07D8" w:rsidRDefault="00B20FC1" w:rsidP="00A05F96">
      <w:pPr>
        <w:pStyle w:val="1"/>
        <w:numPr>
          <w:ilvl w:val="0"/>
          <w:numId w:val="15"/>
        </w:numPr>
        <w:ind w:left="0" w:firstLine="851"/>
      </w:pPr>
      <w:r w:rsidRPr="006C07D8">
        <w:t xml:space="preserve">фотоелектричні модулі </w:t>
      </w:r>
      <w:r w:rsidRPr="006C07D8">
        <w:rPr>
          <w:lang w:val="en-US"/>
        </w:rPr>
        <w:t>[</w:t>
      </w:r>
      <w:r w:rsidRPr="006C07D8">
        <w:t>2</w:t>
      </w:r>
      <w:r w:rsidRPr="006C07D8">
        <w:rPr>
          <w:lang w:val="en-US"/>
        </w:rPr>
        <w:t>]</w:t>
      </w:r>
      <w:r w:rsidRPr="006C07D8">
        <w:t>;</w:t>
      </w:r>
    </w:p>
    <w:p w:rsidR="00B20FC1" w:rsidRPr="006C07D8" w:rsidRDefault="00B20FC1" w:rsidP="00A05F96">
      <w:pPr>
        <w:pStyle w:val="1"/>
        <w:numPr>
          <w:ilvl w:val="0"/>
          <w:numId w:val="15"/>
        </w:numPr>
        <w:ind w:left="0" w:firstLine="851"/>
      </w:pPr>
      <w:r w:rsidRPr="006C07D8">
        <w:t>вітроенергетичні установки</w:t>
      </w:r>
      <w:r w:rsidRPr="006C07D8">
        <w:rPr>
          <w:lang w:val="en-US"/>
        </w:rPr>
        <w:t xml:space="preserve"> [</w:t>
      </w:r>
      <w:r w:rsidRPr="006C07D8">
        <w:t>3</w:t>
      </w:r>
      <w:r w:rsidRPr="006C07D8">
        <w:rPr>
          <w:lang w:val="en-US"/>
        </w:rPr>
        <w:t>]</w:t>
      </w:r>
      <w:r w:rsidRPr="006C07D8">
        <w:t>;</w:t>
      </w:r>
    </w:p>
    <w:p w:rsidR="00B20FC1" w:rsidRPr="006C07D8" w:rsidRDefault="00B20FC1" w:rsidP="00A05F96">
      <w:pPr>
        <w:pStyle w:val="1"/>
        <w:numPr>
          <w:ilvl w:val="0"/>
          <w:numId w:val="15"/>
        </w:numPr>
        <w:ind w:left="0" w:firstLine="851"/>
      </w:pPr>
      <w:r w:rsidRPr="006C07D8">
        <w:t>дизель-генератор як резервне або балансуюче джерело [4];</w:t>
      </w:r>
    </w:p>
    <w:p w:rsidR="00B20FC1" w:rsidRPr="006C07D8" w:rsidRDefault="00B20FC1" w:rsidP="00A05F96">
      <w:pPr>
        <w:pStyle w:val="1"/>
        <w:numPr>
          <w:ilvl w:val="0"/>
          <w:numId w:val="15"/>
        </w:numPr>
        <w:ind w:left="0" w:firstLine="851"/>
      </w:pPr>
      <w:r w:rsidRPr="006C07D8">
        <w:t>акумуляторні накопичувачі</w:t>
      </w:r>
      <w:r w:rsidRPr="006C07D8">
        <w:rPr>
          <w:lang w:val="en-US"/>
        </w:rPr>
        <w:t xml:space="preserve"> [</w:t>
      </w:r>
      <w:r w:rsidRPr="006C07D8">
        <w:t>5</w:t>
      </w:r>
      <w:r w:rsidRPr="006C07D8">
        <w:rPr>
          <w:lang w:val="en-US"/>
        </w:rPr>
        <w:t>]</w:t>
      </w:r>
      <w:r w:rsidRPr="006C07D8">
        <w:t>;</w:t>
      </w:r>
    </w:p>
    <w:p w:rsidR="00B20FC1" w:rsidRPr="006C07D8" w:rsidRDefault="00B20FC1" w:rsidP="00A05F96">
      <w:pPr>
        <w:pStyle w:val="1"/>
        <w:numPr>
          <w:ilvl w:val="0"/>
          <w:numId w:val="15"/>
        </w:numPr>
        <w:ind w:left="0" w:firstLine="851"/>
      </w:pPr>
      <w:r w:rsidRPr="006C07D8">
        <w:t>система керування та силова перетворювальна техніка.</w:t>
      </w:r>
    </w:p>
    <w:p w:rsidR="00B20FC1" w:rsidRPr="006C07D8" w:rsidRDefault="00B20FC1" w:rsidP="00A05F96">
      <w:pPr>
        <w:pStyle w:val="1"/>
      </w:pPr>
      <w:r w:rsidRPr="006C07D8">
        <w:t>Фотоелектричні модулі забезпечують генерацію електроенергії у денний період та характеризуються відносною простотою експлуатації й відсутністю рухомих частин. Вітроенергетичні установки дозволяють компенсувати дефіцит сонячної генерації у нічний час або в періоди підвищеної швидкості вітру. Комбінування цих джерел підвищує коефіцієнт використання встановленої потужності системи в цілому. Дизель-генератор у складі гібридної енергосистеми виконує функцію гарантійного резерву, забезпечуючи покриття пікових навантажень або тривалих періодів низької генерації від ВДЕ. Акумуляторні накопичувачі виконують функцію буферного елементу, забезпечуючи згладжування короткочасних дисбалансів потужності та підтримання стабільності напруги і частоти.</w:t>
      </w:r>
    </w:p>
    <w:p w:rsidR="00B20FC1" w:rsidRPr="006C07D8" w:rsidRDefault="00B20FC1" w:rsidP="00A05F96">
      <w:pPr>
        <w:pStyle w:val="1"/>
      </w:pPr>
      <w:r w:rsidRPr="006C07D8">
        <w:t>На сучасному етапі розвитку енергетики гібридні системи активно застосовуються для:</w:t>
      </w:r>
    </w:p>
    <w:p w:rsidR="00B20FC1" w:rsidRPr="006C07D8" w:rsidRDefault="00B20FC1" w:rsidP="00A05F96">
      <w:pPr>
        <w:pStyle w:val="1"/>
        <w:numPr>
          <w:ilvl w:val="0"/>
          <w:numId w:val="15"/>
        </w:numPr>
        <w:ind w:left="0" w:firstLine="851"/>
      </w:pPr>
      <w:r w:rsidRPr="006C07D8">
        <w:t>енергопостачання віддалених населених пунктів;</w:t>
      </w:r>
    </w:p>
    <w:p w:rsidR="00B20FC1" w:rsidRPr="006C07D8" w:rsidRDefault="00B20FC1" w:rsidP="00A05F96">
      <w:pPr>
        <w:pStyle w:val="1"/>
        <w:numPr>
          <w:ilvl w:val="0"/>
          <w:numId w:val="15"/>
        </w:numPr>
        <w:ind w:left="0" w:firstLine="851"/>
      </w:pPr>
      <w:r w:rsidRPr="006C07D8">
        <w:t>забезпечення роботи телекомунікаційних станцій;</w:t>
      </w:r>
    </w:p>
    <w:p w:rsidR="00B20FC1" w:rsidRPr="006C07D8" w:rsidRDefault="00B20FC1" w:rsidP="00A05F96">
      <w:pPr>
        <w:pStyle w:val="1"/>
        <w:numPr>
          <w:ilvl w:val="0"/>
          <w:numId w:val="15"/>
        </w:numPr>
        <w:ind w:left="0" w:firstLine="851"/>
      </w:pPr>
      <w:r w:rsidRPr="006C07D8">
        <w:t>живлення об’єктів критичної інфраструктури;</w:t>
      </w:r>
    </w:p>
    <w:p w:rsidR="00B20FC1" w:rsidRPr="006C07D8" w:rsidRDefault="00B20FC1" w:rsidP="00A05F96">
      <w:pPr>
        <w:pStyle w:val="1"/>
        <w:numPr>
          <w:ilvl w:val="0"/>
          <w:numId w:val="15"/>
        </w:numPr>
        <w:ind w:left="0" w:firstLine="851"/>
      </w:pPr>
      <w:r w:rsidRPr="006C07D8">
        <w:t>автономних промислових майданчиків;</w:t>
      </w:r>
    </w:p>
    <w:p w:rsidR="00B20FC1" w:rsidRPr="006C07D8" w:rsidRDefault="00B20FC1" w:rsidP="00A05F96">
      <w:pPr>
        <w:pStyle w:val="1"/>
        <w:numPr>
          <w:ilvl w:val="0"/>
          <w:numId w:val="15"/>
        </w:numPr>
        <w:ind w:left="0" w:firstLine="851"/>
      </w:pPr>
      <w:r w:rsidRPr="006C07D8">
        <w:t>військових та польових об’єктів;</w:t>
      </w:r>
    </w:p>
    <w:p w:rsidR="00B20FC1" w:rsidRPr="006C07D8" w:rsidRDefault="00B20FC1" w:rsidP="00A05F96">
      <w:pPr>
        <w:pStyle w:val="1"/>
        <w:numPr>
          <w:ilvl w:val="0"/>
          <w:numId w:val="15"/>
        </w:numPr>
        <w:ind w:left="0" w:firstLine="851"/>
      </w:pPr>
      <w:r w:rsidRPr="006C07D8">
        <w:t>приватних домогосподарств із високими вимогами до енергетичної незалежності.</w:t>
      </w:r>
    </w:p>
    <w:p w:rsidR="00B20FC1" w:rsidRPr="006C07D8" w:rsidRDefault="00B20FC1" w:rsidP="00A05F96">
      <w:pPr>
        <w:pStyle w:val="1"/>
      </w:pPr>
      <w:r w:rsidRPr="006C07D8">
        <w:t xml:space="preserve">З технічної точки зору, розвиток автономних гібридних систем характеризується збільшенням встановленої потужності ВДЕ при одночасному зниженні питомого споживання дизельного палива. Це досягається шляхом оптимального підбору співвідношення між генерацією та ємністю систем накопичення. Водночас зростає складність задачі забезпечення балансу потужності, оскільки генерація відновлюваних джерел має стохастичний характер і залежить від кліматичних та сезонних факторів. </w:t>
      </w:r>
    </w:p>
    <w:p w:rsidR="00B20FC1" w:rsidRPr="006C07D8" w:rsidRDefault="00B20FC1" w:rsidP="00A05F96">
      <w:pPr>
        <w:pStyle w:val="1"/>
      </w:pPr>
      <w:r w:rsidRPr="006C07D8">
        <w:t>Однією з ключових проблем сучасного етапу є забезпечення стабільності параметрів електроенергії в умовах змінної генерації. Коливання потужності фотоелектричних і вітрових установок можуть призводити до відхилень напруги та частоти, що негативно впливає на роботу споживачів. Тому значна увага приділяється розвитку систем керування, здатних здійснювати адаптивне регулювання режимів роботи обладнання в реальному масштабі часу.</w:t>
      </w:r>
    </w:p>
    <w:p w:rsidR="00B20FC1" w:rsidRPr="006C07D8" w:rsidRDefault="00B20FC1" w:rsidP="00A05F96">
      <w:pPr>
        <w:pStyle w:val="1"/>
      </w:pPr>
      <w:r w:rsidRPr="006C07D8">
        <w:t>Основні тенденції розвитку автономних гібридних енергосистем наведено в таблиці 1.</w:t>
      </w:r>
    </w:p>
    <w:p w:rsidR="00B20FC1" w:rsidRPr="006C07D8" w:rsidRDefault="00B20FC1" w:rsidP="00A05F96">
      <w:pPr>
        <w:pStyle w:val="a"/>
        <w:ind w:left="0" w:firstLine="851"/>
        <w:rPr>
          <w:lang w:val="uk-UA"/>
        </w:rPr>
      </w:pPr>
    </w:p>
    <w:p w:rsidR="00B20FC1" w:rsidRPr="006C07D8" w:rsidRDefault="00B20FC1" w:rsidP="00A05F96">
      <w:pPr>
        <w:pStyle w:val="a"/>
        <w:ind w:left="0" w:firstLine="851"/>
        <w:rPr>
          <w:lang w:val="uk-UA"/>
        </w:rPr>
      </w:pPr>
    </w:p>
    <w:p w:rsidR="00B20FC1" w:rsidRPr="006C07D8" w:rsidRDefault="00B20FC1" w:rsidP="00A05F96">
      <w:pPr>
        <w:pStyle w:val="a"/>
        <w:ind w:left="0" w:firstLine="851"/>
        <w:rPr>
          <w:lang w:val="uk-UA"/>
        </w:rPr>
      </w:pPr>
      <w:r w:rsidRPr="006C07D8">
        <w:rPr>
          <w:lang w:val="uk-UA"/>
        </w:rPr>
        <w:t>Таблиця 1– Основні тенденції розвитку автономних гібридних енергосистем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35"/>
        <w:gridCol w:w="3542"/>
        <w:gridCol w:w="3377"/>
      </w:tblGrid>
      <w:tr w:rsidR="00B20FC1" w:rsidRPr="009C3966" w:rsidTr="009C3966">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Напрям розвитку</w:t>
            </w:r>
          </w:p>
        </w:tc>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Технологічна характеристика</w:t>
            </w:r>
          </w:p>
        </w:tc>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Інженерне значення для автономних систем</w:t>
            </w:r>
          </w:p>
        </w:tc>
      </w:tr>
      <w:tr w:rsidR="00B20FC1" w:rsidRPr="009C3966" w:rsidTr="009C3966">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Зростання частки ВДЕ</w:t>
            </w:r>
          </w:p>
        </w:tc>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Активне впровадження фотоелектричних та вітрових установок</w:t>
            </w:r>
          </w:p>
        </w:tc>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Зменшення споживання палива, зниження експлуатаційних витрат</w:t>
            </w:r>
          </w:p>
        </w:tc>
      </w:tr>
      <w:tr w:rsidR="00B20FC1" w:rsidRPr="009C3966" w:rsidTr="009C3966">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Розвиток акумуляторних технологій</w:t>
            </w:r>
          </w:p>
        </w:tc>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Поширення літій-іонних та гібридних систем накопичення</w:t>
            </w:r>
          </w:p>
        </w:tc>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Підвищення стабільності режимів, компенсація стохастичності генерації</w:t>
            </w:r>
          </w:p>
        </w:tc>
      </w:tr>
      <w:tr w:rsidR="00B20FC1" w:rsidRPr="009C3966" w:rsidTr="009C3966">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Інтелектуалізація управління</w:t>
            </w:r>
          </w:p>
        </w:tc>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Використання EMS [8], прогнозних алгоритмів, адаптивного керування</w:t>
            </w:r>
          </w:p>
        </w:tc>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Оптимізація балансу потужності, мінімізація пусків ДГУ</w:t>
            </w:r>
          </w:p>
        </w:tc>
      </w:tr>
      <w:tr w:rsidR="00B20FC1" w:rsidRPr="009C3966" w:rsidTr="009C3966">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Модульність конструкцій</w:t>
            </w:r>
          </w:p>
        </w:tc>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Блокова структура генеруючих та накопичувальних елементів</w:t>
            </w:r>
          </w:p>
        </w:tc>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Спрощення масштабування та модернізації систем</w:t>
            </w:r>
          </w:p>
        </w:tc>
      </w:tr>
      <w:tr w:rsidR="00B20FC1" w:rsidRPr="009C3966" w:rsidTr="009C3966">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Підвищення енергоефективності</w:t>
            </w:r>
          </w:p>
        </w:tc>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Застосування високоефективних інверторів і контролерів</w:t>
            </w:r>
          </w:p>
        </w:tc>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Зменшення втрат при перетворенні енергії</w:t>
            </w:r>
          </w:p>
        </w:tc>
      </w:tr>
      <w:tr w:rsidR="00B20FC1" w:rsidRPr="009C3966" w:rsidTr="009C3966">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Інтеграція систем моніторингу</w:t>
            </w:r>
          </w:p>
        </w:tc>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Безперервний контроль параметрів генерації та навантаження</w:t>
            </w:r>
          </w:p>
        </w:tc>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Підвищення надійності та швидке реагування на аварійні режими</w:t>
            </w:r>
          </w:p>
        </w:tc>
      </w:tr>
      <w:tr w:rsidR="00B20FC1" w:rsidRPr="009C3966" w:rsidTr="009C3966">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Декарбонізація</w:t>
            </w:r>
          </w:p>
        </w:tc>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Зменшення частки дизельної генерації</w:t>
            </w:r>
          </w:p>
        </w:tc>
        <w:tc>
          <w:tcPr>
            <w:tcW w:w="0" w:type="auto"/>
            <w:vAlign w:val="center"/>
          </w:tcPr>
          <w:p w:rsidR="00B20FC1" w:rsidRPr="009C3966" w:rsidRDefault="00B20FC1" w:rsidP="009C3966">
            <w:pPr>
              <w:widowControl w:val="0"/>
              <w:autoSpaceDE w:val="0"/>
              <w:autoSpaceDN w:val="0"/>
              <w:spacing w:after="0" w:line="276" w:lineRule="auto"/>
              <w:jc w:val="center"/>
              <w:rPr>
                <w:rFonts w:ascii="Times New Roman" w:hAnsi="Times New Roman"/>
                <w:kern w:val="0"/>
                <w:sz w:val="28"/>
                <w:szCs w:val="28"/>
              </w:rPr>
            </w:pPr>
            <w:r w:rsidRPr="009C3966">
              <w:rPr>
                <w:rFonts w:ascii="Times New Roman" w:hAnsi="Times New Roman"/>
                <w:kern w:val="0"/>
                <w:sz w:val="28"/>
                <w:szCs w:val="28"/>
              </w:rPr>
              <w:t>Зниження викидів CO</w:t>
            </w:r>
            <w:r w:rsidRPr="009C3966">
              <w:rPr>
                <w:rFonts w:ascii="MS Mincho" w:eastAsia="MS Mincho" w:hAnsi="MS Mincho" w:cs="MS Mincho" w:hint="eastAsia"/>
                <w:kern w:val="0"/>
                <w:sz w:val="28"/>
                <w:szCs w:val="28"/>
              </w:rPr>
              <w:t>₂</w:t>
            </w:r>
            <w:r w:rsidRPr="009C3966">
              <w:rPr>
                <w:rFonts w:ascii="Times New Roman" w:hAnsi="Times New Roman"/>
                <w:kern w:val="0"/>
                <w:sz w:val="28"/>
                <w:szCs w:val="28"/>
              </w:rPr>
              <w:t xml:space="preserve"> та екологічного навантаження</w:t>
            </w:r>
          </w:p>
        </w:tc>
      </w:tr>
    </w:tbl>
    <w:p w:rsidR="00B20FC1" w:rsidRPr="006C07D8" w:rsidRDefault="00B20FC1" w:rsidP="00A05F96">
      <w:pPr>
        <w:pStyle w:val="1"/>
        <w:spacing w:before="0" w:after="0"/>
      </w:pPr>
      <w:r w:rsidRPr="006C07D8">
        <w:t>Важливою тенденцією є інтеграція автономних гібридних систем у концепцію мікромереж із можливістю подальшого масштабування та об’єднання декількох локальних енергокомплексів. У таких умовах автономна система розглядається як елемент більшої розподіленої структури, де критичним фактором стає ефективність алгоритмів координації та диспетчеризації.</w:t>
      </w:r>
    </w:p>
    <w:p w:rsidR="00B20FC1" w:rsidRPr="006C07D8" w:rsidRDefault="00B20FC1" w:rsidP="00A05F96">
      <w:pPr>
        <w:spacing w:after="0" w:line="360" w:lineRule="auto"/>
        <w:rPr>
          <w:rFonts w:ascii="Times New Roman" w:hAnsi="Times New Roman"/>
          <w:b/>
          <w:sz w:val="28"/>
          <w:szCs w:val="28"/>
        </w:rPr>
      </w:pPr>
      <w:r>
        <w:rPr>
          <w:rFonts w:ascii="Times New Roman" w:hAnsi="Times New Roman"/>
          <w:b/>
          <w:sz w:val="28"/>
          <w:szCs w:val="28"/>
        </w:rPr>
        <w:t>Література</w:t>
      </w:r>
      <w:r w:rsidRPr="006C07D8">
        <w:rPr>
          <w:rFonts w:ascii="Times New Roman" w:hAnsi="Times New Roman"/>
          <w:b/>
          <w:sz w:val="28"/>
          <w:szCs w:val="28"/>
        </w:rPr>
        <w:t>:</w:t>
      </w:r>
    </w:p>
    <w:p w:rsidR="00B20FC1" w:rsidRPr="006C07D8" w:rsidRDefault="00B20FC1" w:rsidP="00A05F96">
      <w:pPr>
        <w:pStyle w:val="1"/>
        <w:numPr>
          <w:ilvl w:val="6"/>
          <w:numId w:val="14"/>
        </w:numPr>
        <w:spacing w:before="0" w:after="0"/>
        <w:ind w:left="0" w:firstLine="0"/>
      </w:pPr>
      <w:r w:rsidRPr="006C07D8">
        <w:t xml:space="preserve">Автономна vs мережева vs гібридна СЕС: відмінності та особливості [Електронний ресурс] // SolarTech. – Режим доступу: </w:t>
      </w:r>
      <w:hyperlink r:id="rId6" w:history="1">
        <w:r w:rsidRPr="006C07D8">
          <w:rPr>
            <w:rStyle w:val="Hyperlink"/>
          </w:rPr>
          <w:t>https://solartech.if.ua/avtonomna-vs-merezheva-vs-hibrydna-ses/</w:t>
        </w:r>
      </w:hyperlink>
      <w:r w:rsidRPr="006C07D8">
        <w:t xml:space="preserve"> (дата звернення: 19.04.2026).</w:t>
      </w:r>
    </w:p>
    <w:p w:rsidR="00B20FC1" w:rsidRPr="006C07D8" w:rsidRDefault="00B20FC1" w:rsidP="00A05F96">
      <w:pPr>
        <w:pStyle w:val="1"/>
        <w:numPr>
          <w:ilvl w:val="6"/>
          <w:numId w:val="14"/>
        </w:numPr>
        <w:spacing w:before="0" w:after="0"/>
        <w:ind w:left="0" w:firstLine="0"/>
      </w:pPr>
      <w:r w:rsidRPr="006C07D8">
        <w:rPr>
          <w:lang w:val="en-US"/>
        </w:rPr>
        <w:t xml:space="preserve">What is a photovoltaic module? </w:t>
      </w:r>
      <w:r w:rsidRPr="006C07D8">
        <w:rPr>
          <w:lang w:val="ru-RU"/>
        </w:rPr>
        <w:t xml:space="preserve">[Електронний ресурс] // Basengreen. – Режим доступу: </w:t>
      </w:r>
      <w:hyperlink r:id="rId7" w:tgtFrame="_new" w:history="1">
        <w:r w:rsidRPr="006C07D8">
          <w:rPr>
            <w:rStyle w:val="Hyperlink"/>
            <w:lang w:val="ru-RU"/>
          </w:rPr>
          <w:t>https://www.basengreen.com/uk/what-is-a-photovoltaic-module/</w:t>
        </w:r>
      </w:hyperlink>
      <w:r w:rsidRPr="006C07D8">
        <w:rPr>
          <w:lang w:val="ru-RU"/>
        </w:rPr>
        <w:t xml:space="preserve"> (дата звернення: 25.03.2026).</w:t>
      </w:r>
    </w:p>
    <w:p w:rsidR="00B20FC1" w:rsidRPr="006C07D8" w:rsidRDefault="00B20FC1" w:rsidP="00A05F96">
      <w:pPr>
        <w:pStyle w:val="1"/>
        <w:numPr>
          <w:ilvl w:val="6"/>
          <w:numId w:val="14"/>
        </w:numPr>
        <w:spacing w:before="0" w:after="0"/>
        <w:ind w:left="0" w:firstLine="0"/>
      </w:pPr>
      <w:r w:rsidRPr="006C07D8">
        <w:rPr>
          <w:lang w:val="ru-RU"/>
        </w:rPr>
        <w:t xml:space="preserve">Призначення, класифікаціявітроенергетичних установок [Електронний ресурс] // Pidru4niki.com. – Режим доступу: </w:t>
      </w:r>
      <w:hyperlink r:id="rId8" w:tgtFrame="_new" w:history="1">
        <w:r w:rsidRPr="006C07D8">
          <w:rPr>
            <w:rStyle w:val="Hyperlink"/>
            <w:lang w:val="ru-RU"/>
          </w:rPr>
          <w:t>https://pidru4niki.com/83017/tehnika/priznachennya_klasifikatsiya_vitroenergetichnih_ustanovok</w:t>
        </w:r>
      </w:hyperlink>
      <w:r w:rsidRPr="006C07D8">
        <w:rPr>
          <w:lang w:val="ru-RU"/>
        </w:rPr>
        <w:t xml:space="preserve"> (дата звернення: </w:t>
      </w:r>
      <w:r w:rsidRPr="006C07D8">
        <w:t>22</w:t>
      </w:r>
      <w:r w:rsidRPr="006C07D8">
        <w:rPr>
          <w:lang w:val="ru-RU"/>
        </w:rPr>
        <w:t>.04.2026).</w:t>
      </w:r>
    </w:p>
    <w:p w:rsidR="00B20FC1" w:rsidRPr="006C07D8" w:rsidRDefault="00B20FC1" w:rsidP="00A05F96">
      <w:pPr>
        <w:pStyle w:val="1"/>
        <w:numPr>
          <w:ilvl w:val="6"/>
          <w:numId w:val="14"/>
        </w:numPr>
        <w:spacing w:before="0" w:after="0"/>
        <w:ind w:left="0" w:firstLine="0"/>
      </w:pPr>
      <w:r w:rsidRPr="006C07D8">
        <w:rPr>
          <w:lang w:val="ru-RU"/>
        </w:rPr>
        <w:t xml:space="preserve">Дизельний генератор: технічніособливості, конструкція та принципиефективноїроботи [Електронний ресурс] // Automedia. – Режим доступу: </w:t>
      </w:r>
      <w:hyperlink r:id="rId9" w:tgtFrame="_new" w:history="1">
        <w:r w:rsidRPr="006C07D8">
          <w:rPr>
            <w:rStyle w:val="Hyperlink"/>
            <w:lang w:val="ru-RU"/>
          </w:rPr>
          <w:t>https://automedia.com.ua/dyzelnyj-generator-tehnichni-osoblyvosti-konstrukcziya-ta-prynczypy-efektyvnoyi-roboty/</w:t>
        </w:r>
      </w:hyperlink>
      <w:r w:rsidRPr="006C07D8">
        <w:rPr>
          <w:lang w:val="ru-RU"/>
        </w:rPr>
        <w:t xml:space="preserve"> (дата звернення: </w:t>
      </w:r>
      <w:r w:rsidRPr="006C07D8">
        <w:t>20</w:t>
      </w:r>
      <w:r w:rsidRPr="006C07D8">
        <w:rPr>
          <w:lang w:val="ru-RU"/>
        </w:rPr>
        <w:t>.04.2026).</w:t>
      </w:r>
    </w:p>
    <w:p w:rsidR="00B20FC1" w:rsidRPr="006C07D8" w:rsidRDefault="00B20FC1" w:rsidP="00A05F96">
      <w:pPr>
        <w:pStyle w:val="1"/>
        <w:numPr>
          <w:ilvl w:val="6"/>
          <w:numId w:val="14"/>
        </w:numPr>
        <w:spacing w:before="0" w:after="0"/>
        <w:ind w:left="0" w:firstLine="0"/>
      </w:pPr>
      <w:smartTag w:uri="urn:schemas-microsoft-com:office:smarttags" w:element="place">
        <w:r w:rsidRPr="006C07D8">
          <w:rPr>
            <w:lang w:val="en-US"/>
          </w:rPr>
          <w:t>Battery</w:t>
        </w:r>
      </w:smartTag>
      <w:r w:rsidRPr="006C07D8">
        <w:rPr>
          <w:lang w:val="en-US"/>
        </w:rPr>
        <w:t xml:space="preserve"> Energy Storage System: energy source for future [</w:t>
      </w:r>
      <w:r w:rsidRPr="006C07D8">
        <w:rPr>
          <w:lang w:val="ru-RU"/>
        </w:rPr>
        <w:t>Електроннийресурс</w:t>
      </w:r>
      <w:r w:rsidRPr="006C07D8">
        <w:rPr>
          <w:lang w:val="en-US"/>
        </w:rPr>
        <w:t xml:space="preserve">] // Rittal. – </w:t>
      </w:r>
      <w:r w:rsidRPr="006C07D8">
        <w:rPr>
          <w:lang w:val="ru-RU"/>
        </w:rPr>
        <w:t>Режимдоступу</w:t>
      </w:r>
      <w:r w:rsidRPr="006C07D8">
        <w:rPr>
          <w:lang w:val="en-US"/>
        </w:rPr>
        <w:t xml:space="preserve">: </w:t>
      </w:r>
      <w:hyperlink r:id="rId10" w:tgtFrame="_new" w:history="1">
        <w:r w:rsidRPr="006C07D8">
          <w:rPr>
            <w:rStyle w:val="Hyperlink"/>
            <w:lang w:val="en-US"/>
          </w:rPr>
          <w:t>https://www.rittal.com/ua-en/ua-blog/Battery_Energy_Storage_System_energy_source_for_future</w:t>
        </w:r>
      </w:hyperlink>
      <w:r w:rsidRPr="006C07D8">
        <w:rPr>
          <w:lang w:val="en-US"/>
        </w:rPr>
        <w:t xml:space="preserve"> (</w:t>
      </w:r>
      <w:r w:rsidRPr="006C07D8">
        <w:rPr>
          <w:lang w:val="ru-RU"/>
        </w:rPr>
        <w:t>датазвернення</w:t>
      </w:r>
      <w:r w:rsidRPr="006C07D8">
        <w:rPr>
          <w:lang w:val="en-US"/>
        </w:rPr>
        <w:t>: 19.04.2026).</w:t>
      </w:r>
    </w:p>
    <w:sectPr w:rsidR="00B20FC1" w:rsidRPr="006C07D8" w:rsidSect="00FA63A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swiss"/>
    <w:notTrueType/>
    <w:pitch w:val="variable"/>
    <w:sig w:usb0="00000003" w:usb1="00000000" w:usb2="00000000" w:usb3="00000000" w:csb0="00000001" w:csb1="00000000"/>
  </w:font>
  <w:font w:name="Aptos Display">
    <w:altName w:val="Calibri"/>
    <w:panose1 w:val="00000000000000000000"/>
    <w:charset w:val="00"/>
    <w:family w:val="swiss"/>
    <w:notTrueType/>
    <w:pitch w:val="variable"/>
    <w:sig w:usb0="00000003" w:usb1="00000000" w:usb2="00000000" w:usb3="00000000" w:csb0="00000001" w:csb1="00000000"/>
  </w:font>
  <w:font w:name="MS Mincho">
    <w:altName w:val="?l?r ??Ѓfc"/>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844EA"/>
    <w:multiLevelType w:val="multilevel"/>
    <w:tmpl w:val="224AD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EB11BD"/>
    <w:multiLevelType w:val="multilevel"/>
    <w:tmpl w:val="86FAB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072032"/>
    <w:multiLevelType w:val="multilevel"/>
    <w:tmpl w:val="AAE6C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E3189C"/>
    <w:multiLevelType w:val="multilevel"/>
    <w:tmpl w:val="95F8E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BE6DD8"/>
    <w:multiLevelType w:val="multilevel"/>
    <w:tmpl w:val="A46E8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A328FD"/>
    <w:multiLevelType w:val="multilevel"/>
    <w:tmpl w:val="36747A7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33F62F82"/>
    <w:multiLevelType w:val="hybridMultilevel"/>
    <w:tmpl w:val="98684BDA"/>
    <w:lvl w:ilvl="0" w:tplc="2F86A432">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nsid w:val="41D12B57"/>
    <w:multiLevelType w:val="multilevel"/>
    <w:tmpl w:val="B8148D14"/>
    <w:lvl w:ilvl="0">
      <w:start w:val="1"/>
      <w:numFmt w:val="decimal"/>
      <w:lvlText w:val="%1"/>
      <w:lvlJc w:val="left"/>
      <w:pPr>
        <w:ind w:left="420" w:hanging="420"/>
      </w:pPr>
      <w:rPr>
        <w:rFonts w:cs="Times New Roman" w:hint="default"/>
      </w:rPr>
    </w:lvl>
    <w:lvl w:ilvl="1">
      <w:start w:val="1"/>
      <w:numFmt w:val="decimal"/>
      <w:lvlText w:val="%1.%2"/>
      <w:lvlJc w:val="left"/>
      <w:pPr>
        <w:ind w:left="1129" w:hanging="4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8">
    <w:nsid w:val="4801052F"/>
    <w:multiLevelType w:val="hybridMultilevel"/>
    <w:tmpl w:val="3CC0F78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56F13614"/>
    <w:multiLevelType w:val="multilevel"/>
    <w:tmpl w:val="F60A7682"/>
    <w:lvl w:ilvl="0">
      <w:start w:val="1"/>
      <w:numFmt w:val="decimal"/>
      <w:suff w:val="space"/>
      <w:lvlText w:val="%1"/>
      <w:lvlJc w:val="left"/>
      <w:pPr>
        <w:ind w:left="720" w:hanging="360"/>
      </w:pPr>
      <w:rPr>
        <w:rFonts w:ascii="Times New Roman" w:hAnsi="Times New Roman" w:cs="Times New Roman" w:hint="default"/>
        <w:b/>
        <w:i w:val="0"/>
        <w:sz w:val="32"/>
      </w:rPr>
    </w:lvl>
    <w:lvl w:ilvl="1">
      <w:start w:val="1"/>
      <w:numFmt w:val="decimal"/>
      <w:lvlText w:val="%2."/>
      <w:lvlJc w:val="left"/>
      <w:pPr>
        <w:ind w:left="927" w:hanging="360"/>
      </w:pPr>
      <w:rPr>
        <w:rFonts w:cs="Times New Roman"/>
      </w:rPr>
    </w:lvl>
    <w:lvl w:ilvl="2">
      <w:start w:val="1"/>
      <w:numFmt w:val="decimal"/>
      <w:lvlRestart w:val="0"/>
      <w:pStyle w:val="a"/>
      <w:suff w:val="space"/>
      <w:lvlText w:val="Таблиця %1.%3"/>
      <w:lvlJc w:val="right"/>
      <w:pPr>
        <w:ind w:left="2160" w:hanging="180"/>
      </w:pPr>
      <w:rPr>
        <w:rFonts w:cs="Times New Roman" w:hint="default"/>
        <w:i w:val="0"/>
        <w:iCs/>
        <w:vanish/>
      </w:rPr>
    </w:lvl>
    <w:lvl w:ilvl="3">
      <w:start w:val="1"/>
      <w:numFmt w:val="none"/>
      <w:lvlRestart w:val="0"/>
      <w:suff w:val="space"/>
      <w:lvlText w:val=""/>
      <w:lvlJc w:val="center"/>
      <w:pPr>
        <w:ind w:left="2880" w:hanging="2029"/>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2"/>
        <w:szCs w:val="22"/>
        <w:u w:val="none" w:color="000000"/>
        <w:effect w:val="none"/>
        <w:vertAlign w:val="baseline"/>
      </w:rPr>
    </w:lvl>
    <w:lvl w:ilvl="4">
      <w:start w:val="1"/>
      <w:numFmt w:val="decimal"/>
      <w:lvlRestart w:val="0"/>
      <w:pStyle w:val="a0"/>
      <w:suff w:val="space"/>
      <w:lvlText w:val="Рисунок %1.%5"/>
      <w:lvlJc w:val="center"/>
      <w:pPr>
        <w:ind w:left="3600" w:hanging="2749"/>
      </w:pPr>
      <w:rPr>
        <w:rFonts w:cs="Times New Roman" w:hint="default"/>
        <w:vanish/>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nsid w:val="57CE35DA"/>
    <w:multiLevelType w:val="multilevel"/>
    <w:tmpl w:val="694A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FA621EE"/>
    <w:multiLevelType w:val="multilevel"/>
    <w:tmpl w:val="CE682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31909BA"/>
    <w:multiLevelType w:val="multilevel"/>
    <w:tmpl w:val="B2F29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9AC3FE6"/>
    <w:multiLevelType w:val="multilevel"/>
    <w:tmpl w:val="4E407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512126D"/>
    <w:multiLevelType w:val="hybridMultilevel"/>
    <w:tmpl w:val="CE5400BE"/>
    <w:lvl w:ilvl="0" w:tplc="BC78E8CA">
      <w:start w:val="1"/>
      <w:numFmt w:val="decimal"/>
      <w:lvlText w:val="%1."/>
      <w:lvlJc w:val="left"/>
      <w:pPr>
        <w:ind w:left="720" w:hanging="360"/>
      </w:pPr>
      <w:rPr>
        <w:rFonts w:cs="Times New Roman" w:hint="default"/>
        <w:b w:val="0"/>
        <w:bCs/>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0"/>
  </w:num>
  <w:num w:numId="5">
    <w:abstractNumId w:val="12"/>
  </w:num>
  <w:num w:numId="6">
    <w:abstractNumId w:val="1"/>
  </w:num>
  <w:num w:numId="7">
    <w:abstractNumId w:val="13"/>
  </w:num>
  <w:num w:numId="8">
    <w:abstractNumId w:val="3"/>
  </w:num>
  <w:num w:numId="9">
    <w:abstractNumId w:val="4"/>
  </w:num>
  <w:num w:numId="10">
    <w:abstractNumId w:val="2"/>
  </w:num>
  <w:num w:numId="11">
    <w:abstractNumId w:val="8"/>
  </w:num>
  <w:num w:numId="12">
    <w:abstractNumId w:val="14"/>
  </w:num>
  <w:num w:numId="13">
    <w:abstractNumId w:val="7"/>
  </w:num>
  <w:num w:numId="14">
    <w:abstractNumId w:val="9"/>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0874"/>
    <w:rsid w:val="00060F05"/>
    <w:rsid w:val="001E7DC9"/>
    <w:rsid w:val="00225AC6"/>
    <w:rsid w:val="00354182"/>
    <w:rsid w:val="004277C0"/>
    <w:rsid w:val="004A6668"/>
    <w:rsid w:val="004D61B4"/>
    <w:rsid w:val="005E778A"/>
    <w:rsid w:val="006C07D8"/>
    <w:rsid w:val="006E1E42"/>
    <w:rsid w:val="006F6EC8"/>
    <w:rsid w:val="007B120A"/>
    <w:rsid w:val="00915694"/>
    <w:rsid w:val="00925655"/>
    <w:rsid w:val="00960874"/>
    <w:rsid w:val="009C3966"/>
    <w:rsid w:val="00A05F96"/>
    <w:rsid w:val="00A23574"/>
    <w:rsid w:val="00B20FC1"/>
    <w:rsid w:val="00B91469"/>
    <w:rsid w:val="00BB5AB3"/>
    <w:rsid w:val="00D768FB"/>
    <w:rsid w:val="00DA7EBA"/>
    <w:rsid w:val="00E1632E"/>
    <w:rsid w:val="00E20BDC"/>
    <w:rsid w:val="00ED727C"/>
    <w:rsid w:val="00FA63AE"/>
    <w:rsid w:val="00FD128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ptos" w:eastAsia="Aptos" w:hAnsi="Aptos"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1632E"/>
    <w:pPr>
      <w:spacing w:after="160" w:line="278" w:lineRule="auto"/>
    </w:pPr>
    <w:rPr>
      <w:kern w:val="2"/>
      <w:sz w:val="24"/>
      <w:szCs w:val="24"/>
      <w:lang w:val="uk-UA"/>
    </w:rPr>
  </w:style>
  <w:style w:type="paragraph" w:styleId="Heading1">
    <w:name w:val="heading 1"/>
    <w:basedOn w:val="Normal"/>
    <w:next w:val="Normal"/>
    <w:link w:val="Heading1Char"/>
    <w:uiPriority w:val="99"/>
    <w:qFormat/>
    <w:rsid w:val="00960874"/>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link w:val="Heading2Char"/>
    <w:uiPriority w:val="99"/>
    <w:qFormat/>
    <w:rsid w:val="00960874"/>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link w:val="Heading3Char"/>
    <w:uiPriority w:val="99"/>
    <w:qFormat/>
    <w:rsid w:val="00960874"/>
    <w:pPr>
      <w:keepNext/>
      <w:keepLines/>
      <w:spacing w:before="160" w:after="80"/>
      <w:outlineLvl w:val="2"/>
    </w:pPr>
    <w:rPr>
      <w:rFonts w:eastAsia="Times New Roman"/>
      <w:color w:val="0F4761"/>
      <w:sz w:val="28"/>
      <w:szCs w:val="28"/>
    </w:rPr>
  </w:style>
  <w:style w:type="paragraph" w:styleId="Heading4">
    <w:name w:val="heading 4"/>
    <w:basedOn w:val="Normal"/>
    <w:next w:val="Normal"/>
    <w:link w:val="Heading4Char"/>
    <w:uiPriority w:val="99"/>
    <w:qFormat/>
    <w:rsid w:val="00960874"/>
    <w:pPr>
      <w:keepNext/>
      <w:keepLines/>
      <w:spacing w:before="80" w:after="40"/>
      <w:outlineLvl w:val="3"/>
    </w:pPr>
    <w:rPr>
      <w:rFonts w:eastAsia="Times New Roman"/>
      <w:i/>
      <w:iCs/>
      <w:color w:val="0F4761"/>
    </w:rPr>
  </w:style>
  <w:style w:type="paragraph" w:styleId="Heading5">
    <w:name w:val="heading 5"/>
    <w:basedOn w:val="Normal"/>
    <w:next w:val="Normal"/>
    <w:link w:val="Heading5Char"/>
    <w:uiPriority w:val="99"/>
    <w:qFormat/>
    <w:rsid w:val="00960874"/>
    <w:pPr>
      <w:keepNext/>
      <w:keepLines/>
      <w:spacing w:before="80" w:after="40"/>
      <w:outlineLvl w:val="4"/>
    </w:pPr>
    <w:rPr>
      <w:rFonts w:eastAsia="Times New Roman"/>
      <w:color w:val="0F4761"/>
    </w:rPr>
  </w:style>
  <w:style w:type="paragraph" w:styleId="Heading6">
    <w:name w:val="heading 6"/>
    <w:basedOn w:val="Normal"/>
    <w:next w:val="Normal"/>
    <w:link w:val="Heading6Char"/>
    <w:uiPriority w:val="99"/>
    <w:qFormat/>
    <w:rsid w:val="00960874"/>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9"/>
    <w:qFormat/>
    <w:rsid w:val="00960874"/>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9"/>
    <w:qFormat/>
    <w:rsid w:val="00960874"/>
    <w:pPr>
      <w:keepNext/>
      <w:keepLines/>
      <w:spacing w:after="0"/>
      <w:outlineLvl w:val="7"/>
    </w:pPr>
    <w:rPr>
      <w:rFonts w:eastAsia="Times New Roman"/>
      <w:i/>
      <w:iCs/>
      <w:color w:val="272727"/>
    </w:rPr>
  </w:style>
  <w:style w:type="paragraph" w:styleId="Heading9">
    <w:name w:val="heading 9"/>
    <w:basedOn w:val="Normal"/>
    <w:next w:val="Normal"/>
    <w:link w:val="Heading9Char"/>
    <w:uiPriority w:val="99"/>
    <w:qFormat/>
    <w:rsid w:val="00960874"/>
    <w:pPr>
      <w:keepNext/>
      <w:keepLines/>
      <w:spacing w:after="0"/>
      <w:outlineLvl w:val="8"/>
    </w:pPr>
    <w:rPr>
      <w:rFonts w:eastAsia="Times New Roman"/>
      <w:color w:val="2727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60874"/>
    <w:rPr>
      <w:rFonts w:ascii="Aptos Display" w:hAnsi="Aptos Display" w:cs="Times New Roman"/>
      <w:color w:val="0F4761"/>
      <w:sz w:val="40"/>
      <w:szCs w:val="40"/>
    </w:rPr>
  </w:style>
  <w:style w:type="character" w:customStyle="1" w:styleId="Heading2Char">
    <w:name w:val="Heading 2 Char"/>
    <w:basedOn w:val="DefaultParagraphFont"/>
    <w:link w:val="Heading2"/>
    <w:uiPriority w:val="99"/>
    <w:semiHidden/>
    <w:locked/>
    <w:rsid w:val="00960874"/>
    <w:rPr>
      <w:rFonts w:ascii="Aptos Display" w:hAnsi="Aptos Display" w:cs="Times New Roman"/>
      <w:color w:val="0F4761"/>
      <w:sz w:val="32"/>
      <w:szCs w:val="32"/>
    </w:rPr>
  </w:style>
  <w:style w:type="character" w:customStyle="1" w:styleId="Heading3Char">
    <w:name w:val="Heading 3 Char"/>
    <w:basedOn w:val="DefaultParagraphFont"/>
    <w:link w:val="Heading3"/>
    <w:uiPriority w:val="99"/>
    <w:semiHidden/>
    <w:locked/>
    <w:rsid w:val="00960874"/>
    <w:rPr>
      <w:rFonts w:eastAsia="Times New Roman" w:cs="Times New Roman"/>
      <w:color w:val="0F4761"/>
      <w:sz w:val="28"/>
      <w:szCs w:val="28"/>
    </w:rPr>
  </w:style>
  <w:style w:type="character" w:customStyle="1" w:styleId="Heading4Char">
    <w:name w:val="Heading 4 Char"/>
    <w:basedOn w:val="DefaultParagraphFont"/>
    <w:link w:val="Heading4"/>
    <w:uiPriority w:val="99"/>
    <w:semiHidden/>
    <w:locked/>
    <w:rsid w:val="00960874"/>
    <w:rPr>
      <w:rFonts w:eastAsia="Times New Roman" w:cs="Times New Roman"/>
      <w:i/>
      <w:iCs/>
      <w:color w:val="0F4761"/>
    </w:rPr>
  </w:style>
  <w:style w:type="character" w:customStyle="1" w:styleId="Heading5Char">
    <w:name w:val="Heading 5 Char"/>
    <w:basedOn w:val="DefaultParagraphFont"/>
    <w:link w:val="Heading5"/>
    <w:uiPriority w:val="99"/>
    <w:semiHidden/>
    <w:locked/>
    <w:rsid w:val="00960874"/>
    <w:rPr>
      <w:rFonts w:eastAsia="Times New Roman" w:cs="Times New Roman"/>
      <w:color w:val="0F4761"/>
    </w:rPr>
  </w:style>
  <w:style w:type="character" w:customStyle="1" w:styleId="Heading6Char">
    <w:name w:val="Heading 6 Char"/>
    <w:basedOn w:val="DefaultParagraphFont"/>
    <w:link w:val="Heading6"/>
    <w:uiPriority w:val="99"/>
    <w:semiHidden/>
    <w:locked/>
    <w:rsid w:val="00960874"/>
    <w:rPr>
      <w:rFonts w:eastAsia="Times New Roman" w:cs="Times New Roman"/>
      <w:i/>
      <w:iCs/>
      <w:color w:val="595959"/>
    </w:rPr>
  </w:style>
  <w:style w:type="character" w:customStyle="1" w:styleId="Heading7Char">
    <w:name w:val="Heading 7 Char"/>
    <w:basedOn w:val="DefaultParagraphFont"/>
    <w:link w:val="Heading7"/>
    <w:uiPriority w:val="99"/>
    <w:semiHidden/>
    <w:locked/>
    <w:rsid w:val="00960874"/>
    <w:rPr>
      <w:rFonts w:eastAsia="Times New Roman" w:cs="Times New Roman"/>
      <w:color w:val="595959"/>
    </w:rPr>
  </w:style>
  <w:style w:type="character" w:customStyle="1" w:styleId="Heading8Char">
    <w:name w:val="Heading 8 Char"/>
    <w:basedOn w:val="DefaultParagraphFont"/>
    <w:link w:val="Heading8"/>
    <w:uiPriority w:val="99"/>
    <w:semiHidden/>
    <w:locked/>
    <w:rsid w:val="00960874"/>
    <w:rPr>
      <w:rFonts w:eastAsia="Times New Roman" w:cs="Times New Roman"/>
      <w:i/>
      <w:iCs/>
      <w:color w:val="272727"/>
    </w:rPr>
  </w:style>
  <w:style w:type="character" w:customStyle="1" w:styleId="Heading9Char">
    <w:name w:val="Heading 9 Char"/>
    <w:basedOn w:val="DefaultParagraphFont"/>
    <w:link w:val="Heading9"/>
    <w:uiPriority w:val="99"/>
    <w:semiHidden/>
    <w:locked/>
    <w:rsid w:val="00960874"/>
    <w:rPr>
      <w:rFonts w:eastAsia="Times New Roman" w:cs="Times New Roman"/>
      <w:color w:val="272727"/>
    </w:rPr>
  </w:style>
  <w:style w:type="paragraph" w:styleId="Title">
    <w:name w:val="Title"/>
    <w:basedOn w:val="Normal"/>
    <w:next w:val="Normal"/>
    <w:link w:val="TitleChar"/>
    <w:uiPriority w:val="99"/>
    <w:qFormat/>
    <w:rsid w:val="00960874"/>
    <w:pPr>
      <w:spacing w:after="80" w:line="240" w:lineRule="auto"/>
      <w:contextualSpacing/>
    </w:pPr>
    <w:rPr>
      <w:rFonts w:ascii="Aptos Display" w:eastAsia="Times New Roman" w:hAnsi="Aptos Display"/>
      <w:spacing w:val="-10"/>
      <w:kern w:val="28"/>
      <w:sz w:val="56"/>
      <w:szCs w:val="56"/>
    </w:rPr>
  </w:style>
  <w:style w:type="character" w:customStyle="1" w:styleId="TitleChar">
    <w:name w:val="Title Char"/>
    <w:basedOn w:val="DefaultParagraphFont"/>
    <w:link w:val="Title"/>
    <w:uiPriority w:val="99"/>
    <w:locked/>
    <w:rsid w:val="00960874"/>
    <w:rPr>
      <w:rFonts w:ascii="Aptos Display" w:hAnsi="Aptos Display" w:cs="Times New Roman"/>
      <w:spacing w:val="-10"/>
      <w:kern w:val="28"/>
      <w:sz w:val="56"/>
      <w:szCs w:val="56"/>
    </w:rPr>
  </w:style>
  <w:style w:type="paragraph" w:styleId="Subtitle">
    <w:name w:val="Subtitle"/>
    <w:basedOn w:val="Normal"/>
    <w:next w:val="Normal"/>
    <w:link w:val="SubtitleChar"/>
    <w:uiPriority w:val="99"/>
    <w:qFormat/>
    <w:rsid w:val="00960874"/>
    <w:pPr>
      <w:numPr>
        <w:ilvl w:val="1"/>
      </w:numPr>
    </w:pPr>
    <w:rPr>
      <w:rFonts w:eastAsia="Times New Roman"/>
      <w:color w:val="595959"/>
      <w:spacing w:val="15"/>
      <w:sz w:val="28"/>
      <w:szCs w:val="28"/>
    </w:rPr>
  </w:style>
  <w:style w:type="character" w:customStyle="1" w:styleId="SubtitleChar">
    <w:name w:val="Subtitle Char"/>
    <w:basedOn w:val="DefaultParagraphFont"/>
    <w:link w:val="Subtitle"/>
    <w:uiPriority w:val="99"/>
    <w:locked/>
    <w:rsid w:val="00960874"/>
    <w:rPr>
      <w:rFonts w:eastAsia="Times New Roman" w:cs="Times New Roman"/>
      <w:color w:val="595959"/>
      <w:spacing w:val="15"/>
      <w:sz w:val="28"/>
      <w:szCs w:val="28"/>
    </w:rPr>
  </w:style>
  <w:style w:type="paragraph" w:styleId="Quote">
    <w:name w:val="Quote"/>
    <w:basedOn w:val="Normal"/>
    <w:next w:val="Normal"/>
    <w:link w:val="QuoteChar"/>
    <w:uiPriority w:val="99"/>
    <w:qFormat/>
    <w:rsid w:val="00960874"/>
    <w:pPr>
      <w:spacing w:before="160"/>
      <w:jc w:val="center"/>
    </w:pPr>
    <w:rPr>
      <w:i/>
      <w:iCs/>
      <w:color w:val="404040"/>
    </w:rPr>
  </w:style>
  <w:style w:type="character" w:customStyle="1" w:styleId="QuoteChar">
    <w:name w:val="Quote Char"/>
    <w:basedOn w:val="DefaultParagraphFont"/>
    <w:link w:val="Quote"/>
    <w:uiPriority w:val="99"/>
    <w:locked/>
    <w:rsid w:val="00960874"/>
    <w:rPr>
      <w:rFonts w:cs="Times New Roman"/>
      <w:i/>
      <w:iCs/>
      <w:color w:val="404040"/>
    </w:rPr>
  </w:style>
  <w:style w:type="paragraph" w:styleId="ListParagraph">
    <w:name w:val="List Paragraph"/>
    <w:basedOn w:val="Normal"/>
    <w:uiPriority w:val="99"/>
    <w:qFormat/>
    <w:rsid w:val="00960874"/>
    <w:pPr>
      <w:ind w:left="720"/>
      <w:contextualSpacing/>
    </w:pPr>
  </w:style>
  <w:style w:type="character" w:styleId="IntenseEmphasis">
    <w:name w:val="Intense Emphasis"/>
    <w:basedOn w:val="DefaultParagraphFont"/>
    <w:uiPriority w:val="99"/>
    <w:qFormat/>
    <w:rsid w:val="00960874"/>
    <w:rPr>
      <w:rFonts w:cs="Times New Roman"/>
      <w:i/>
      <w:iCs/>
      <w:color w:val="0F4761"/>
    </w:rPr>
  </w:style>
  <w:style w:type="paragraph" w:styleId="IntenseQuote">
    <w:name w:val="Intense Quote"/>
    <w:basedOn w:val="Normal"/>
    <w:next w:val="Normal"/>
    <w:link w:val="IntenseQuoteChar"/>
    <w:uiPriority w:val="99"/>
    <w:qFormat/>
    <w:rsid w:val="00960874"/>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
    <w:uiPriority w:val="99"/>
    <w:locked/>
    <w:rsid w:val="00960874"/>
    <w:rPr>
      <w:rFonts w:cs="Times New Roman"/>
      <w:i/>
      <w:iCs/>
      <w:color w:val="0F4761"/>
    </w:rPr>
  </w:style>
  <w:style w:type="character" w:styleId="IntenseReference">
    <w:name w:val="Intense Reference"/>
    <w:basedOn w:val="DefaultParagraphFont"/>
    <w:uiPriority w:val="99"/>
    <w:qFormat/>
    <w:rsid w:val="00960874"/>
    <w:rPr>
      <w:rFonts w:cs="Times New Roman"/>
      <w:b/>
      <w:bCs/>
      <w:smallCaps/>
      <w:color w:val="0F4761"/>
      <w:spacing w:val="5"/>
    </w:rPr>
  </w:style>
  <w:style w:type="table" w:styleId="TableGrid">
    <w:name w:val="Table Grid"/>
    <w:basedOn w:val="TableNormal"/>
    <w:uiPriority w:val="99"/>
    <w:rsid w:val="00B9146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225AC6"/>
    <w:rPr>
      <w:rFonts w:cs="Times New Roman"/>
      <w:color w:val="467886"/>
      <w:u w:val="single"/>
    </w:rPr>
  </w:style>
  <w:style w:type="character" w:customStyle="1" w:styleId="UnresolvedMention">
    <w:name w:val="Unresolved Mention"/>
    <w:basedOn w:val="DefaultParagraphFont"/>
    <w:uiPriority w:val="99"/>
    <w:semiHidden/>
    <w:rsid w:val="00225AC6"/>
    <w:rPr>
      <w:rFonts w:cs="Times New Roman"/>
      <w:color w:val="605E5C"/>
      <w:shd w:val="clear" w:color="auto" w:fill="E1DFDD"/>
    </w:rPr>
  </w:style>
  <w:style w:type="paragraph" w:customStyle="1" w:styleId="a0">
    <w:name w:val="Рисунок"/>
    <w:basedOn w:val="Normal"/>
    <w:next w:val="Normal"/>
    <w:uiPriority w:val="99"/>
    <w:rsid w:val="00A05F96"/>
    <w:pPr>
      <w:keepNext/>
      <w:keepLines/>
      <w:numPr>
        <w:ilvl w:val="4"/>
        <w:numId w:val="14"/>
      </w:numPr>
      <w:spacing w:after="0"/>
      <w:ind w:left="851" w:firstLine="0"/>
      <w:jc w:val="center"/>
      <w:outlineLvl w:val="7"/>
    </w:pPr>
    <w:rPr>
      <w:rFonts w:ascii="Times New Roman" w:eastAsia="Times New Roman" w:hAnsi="Times New Roman"/>
      <w:iCs/>
      <w:color w:val="272727"/>
      <w:sz w:val="28"/>
    </w:rPr>
  </w:style>
  <w:style w:type="paragraph" w:customStyle="1" w:styleId="a">
    <w:name w:val="Таблиця"/>
    <w:uiPriority w:val="99"/>
    <w:rsid w:val="00A05F96"/>
    <w:pPr>
      <w:numPr>
        <w:ilvl w:val="2"/>
        <w:numId w:val="14"/>
      </w:numPr>
      <w:spacing w:before="240" w:after="240"/>
      <w:jc w:val="both"/>
    </w:pPr>
    <w:rPr>
      <w:rFonts w:ascii="Times New Roman" w:hAnsi="Times New Roman"/>
      <w:sz w:val="28"/>
      <w:lang w:val="ru-RU"/>
    </w:rPr>
  </w:style>
  <w:style w:type="paragraph" w:customStyle="1" w:styleId="1">
    <w:name w:val="Основний текст1"/>
    <w:basedOn w:val="Normal"/>
    <w:autoRedefine/>
    <w:uiPriority w:val="99"/>
    <w:rsid w:val="00A05F96"/>
    <w:pPr>
      <w:spacing w:before="360" w:after="360" w:line="360" w:lineRule="auto"/>
      <w:ind w:firstLine="851"/>
      <w:contextualSpacing/>
      <w:jc w:val="both"/>
    </w:pPr>
    <w:rPr>
      <w:rFonts w:ascii="Times New Roman" w:hAnsi="Times New Roman"/>
      <w:iCs/>
      <w:kern w:val="0"/>
      <w:sz w:val="28"/>
      <w:szCs w:val="22"/>
    </w:rPr>
  </w:style>
  <w:style w:type="table" w:customStyle="1" w:styleId="INTtable11">
    <w:name w:val="INT table11"/>
    <w:uiPriority w:val="99"/>
    <w:rsid w:val="00A05F96"/>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A05F96"/>
    <w:rPr>
      <w:rFonts w:cs="Times New Roman"/>
      <w:sz w:val="16"/>
      <w:szCs w:val="16"/>
    </w:rPr>
  </w:style>
  <w:style w:type="paragraph" w:styleId="CommentText">
    <w:name w:val="annotation text"/>
    <w:basedOn w:val="Normal"/>
    <w:link w:val="CommentTextChar"/>
    <w:uiPriority w:val="99"/>
    <w:semiHidden/>
    <w:rsid w:val="00A05F96"/>
    <w:pPr>
      <w:spacing w:line="240" w:lineRule="auto"/>
    </w:pPr>
    <w:rPr>
      <w:sz w:val="20"/>
      <w:szCs w:val="20"/>
    </w:rPr>
  </w:style>
  <w:style w:type="character" w:customStyle="1" w:styleId="CommentTextChar">
    <w:name w:val="Comment Text Char"/>
    <w:basedOn w:val="DefaultParagraphFont"/>
    <w:link w:val="CommentText"/>
    <w:uiPriority w:val="99"/>
    <w:semiHidden/>
    <w:locked/>
    <w:rsid w:val="00A05F96"/>
    <w:rPr>
      <w:rFonts w:cs="Times New Roman"/>
      <w:sz w:val="20"/>
      <w:szCs w:val="20"/>
    </w:rPr>
  </w:style>
  <w:style w:type="paragraph" w:styleId="CommentSubject">
    <w:name w:val="annotation subject"/>
    <w:basedOn w:val="CommentText"/>
    <w:next w:val="CommentText"/>
    <w:link w:val="CommentSubjectChar"/>
    <w:uiPriority w:val="99"/>
    <w:semiHidden/>
    <w:rsid w:val="00A05F96"/>
    <w:rPr>
      <w:b/>
      <w:bCs/>
    </w:rPr>
  </w:style>
  <w:style w:type="character" w:customStyle="1" w:styleId="CommentSubjectChar">
    <w:name w:val="Comment Subject Char"/>
    <w:basedOn w:val="CommentTextChar"/>
    <w:link w:val="CommentSubject"/>
    <w:uiPriority w:val="99"/>
    <w:semiHidden/>
    <w:locked/>
    <w:rsid w:val="00A05F96"/>
    <w:rPr>
      <w:b/>
      <w:bCs/>
    </w:rPr>
  </w:style>
</w:styles>
</file>

<file path=word/webSettings.xml><?xml version="1.0" encoding="utf-8"?>
<w:webSettings xmlns:r="http://schemas.openxmlformats.org/officeDocument/2006/relationships" xmlns:w="http://schemas.openxmlformats.org/wordprocessingml/2006/main">
  <w:divs>
    <w:div w:id="1036463332">
      <w:marLeft w:val="0"/>
      <w:marRight w:val="0"/>
      <w:marTop w:val="0"/>
      <w:marBottom w:val="0"/>
      <w:divBdr>
        <w:top w:val="none" w:sz="0" w:space="0" w:color="auto"/>
        <w:left w:val="none" w:sz="0" w:space="0" w:color="auto"/>
        <w:bottom w:val="none" w:sz="0" w:space="0" w:color="auto"/>
        <w:right w:val="none" w:sz="0" w:space="0" w:color="auto"/>
      </w:divBdr>
    </w:div>
    <w:div w:id="1036463334">
      <w:marLeft w:val="0"/>
      <w:marRight w:val="0"/>
      <w:marTop w:val="0"/>
      <w:marBottom w:val="0"/>
      <w:divBdr>
        <w:top w:val="none" w:sz="0" w:space="0" w:color="auto"/>
        <w:left w:val="none" w:sz="0" w:space="0" w:color="auto"/>
        <w:bottom w:val="none" w:sz="0" w:space="0" w:color="auto"/>
        <w:right w:val="none" w:sz="0" w:space="0" w:color="auto"/>
      </w:divBdr>
      <w:divsChild>
        <w:div w:id="1036463337">
          <w:marLeft w:val="0"/>
          <w:marRight w:val="0"/>
          <w:marTop w:val="0"/>
          <w:marBottom w:val="0"/>
          <w:divBdr>
            <w:top w:val="none" w:sz="0" w:space="0" w:color="auto"/>
            <w:left w:val="none" w:sz="0" w:space="0" w:color="auto"/>
            <w:bottom w:val="none" w:sz="0" w:space="0" w:color="auto"/>
            <w:right w:val="none" w:sz="0" w:space="0" w:color="auto"/>
          </w:divBdr>
          <w:divsChild>
            <w:div w:id="1036463333">
              <w:marLeft w:val="0"/>
              <w:marRight w:val="0"/>
              <w:marTop w:val="0"/>
              <w:marBottom w:val="0"/>
              <w:divBdr>
                <w:top w:val="none" w:sz="0" w:space="0" w:color="auto"/>
                <w:left w:val="none" w:sz="0" w:space="0" w:color="auto"/>
                <w:bottom w:val="none" w:sz="0" w:space="0" w:color="auto"/>
                <w:right w:val="none" w:sz="0" w:space="0" w:color="auto"/>
              </w:divBdr>
              <w:divsChild>
                <w:div w:id="1036463331">
                  <w:marLeft w:val="0"/>
                  <w:marRight w:val="0"/>
                  <w:marTop w:val="0"/>
                  <w:marBottom w:val="0"/>
                  <w:divBdr>
                    <w:top w:val="none" w:sz="0" w:space="0" w:color="auto"/>
                    <w:left w:val="none" w:sz="0" w:space="0" w:color="auto"/>
                    <w:bottom w:val="none" w:sz="0" w:space="0" w:color="auto"/>
                    <w:right w:val="none" w:sz="0" w:space="0" w:color="auto"/>
                  </w:divBdr>
                  <w:divsChild>
                    <w:div w:id="1036463339">
                      <w:marLeft w:val="0"/>
                      <w:marRight w:val="0"/>
                      <w:marTop w:val="0"/>
                      <w:marBottom w:val="0"/>
                      <w:divBdr>
                        <w:top w:val="none" w:sz="0" w:space="0" w:color="auto"/>
                        <w:left w:val="none" w:sz="0" w:space="0" w:color="auto"/>
                        <w:bottom w:val="none" w:sz="0" w:space="0" w:color="auto"/>
                        <w:right w:val="none" w:sz="0" w:space="0" w:color="auto"/>
                      </w:divBdr>
                    </w:div>
                    <w:div w:id="103646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463335">
      <w:marLeft w:val="0"/>
      <w:marRight w:val="0"/>
      <w:marTop w:val="0"/>
      <w:marBottom w:val="0"/>
      <w:divBdr>
        <w:top w:val="none" w:sz="0" w:space="0" w:color="auto"/>
        <w:left w:val="none" w:sz="0" w:space="0" w:color="auto"/>
        <w:bottom w:val="none" w:sz="0" w:space="0" w:color="auto"/>
        <w:right w:val="none" w:sz="0" w:space="0" w:color="auto"/>
      </w:divBdr>
    </w:div>
    <w:div w:id="1036463336">
      <w:marLeft w:val="0"/>
      <w:marRight w:val="0"/>
      <w:marTop w:val="0"/>
      <w:marBottom w:val="0"/>
      <w:divBdr>
        <w:top w:val="none" w:sz="0" w:space="0" w:color="auto"/>
        <w:left w:val="none" w:sz="0" w:space="0" w:color="auto"/>
        <w:bottom w:val="none" w:sz="0" w:space="0" w:color="auto"/>
        <w:right w:val="none" w:sz="0" w:space="0" w:color="auto"/>
      </w:divBdr>
    </w:div>
    <w:div w:id="1036463338">
      <w:marLeft w:val="0"/>
      <w:marRight w:val="0"/>
      <w:marTop w:val="0"/>
      <w:marBottom w:val="0"/>
      <w:divBdr>
        <w:top w:val="none" w:sz="0" w:space="0" w:color="auto"/>
        <w:left w:val="none" w:sz="0" w:space="0" w:color="auto"/>
        <w:bottom w:val="none" w:sz="0" w:space="0" w:color="auto"/>
        <w:right w:val="none" w:sz="0" w:space="0" w:color="auto"/>
      </w:divBdr>
    </w:div>
    <w:div w:id="10364633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idru4niki.com/83017/tehnika/priznachennya_klasifikatsiya_vitroenergetichnih_ustanovok" TargetMode="External"/><Relationship Id="rId3" Type="http://schemas.openxmlformats.org/officeDocument/2006/relationships/settings" Target="settings.xml"/><Relationship Id="rId7" Type="http://schemas.openxmlformats.org/officeDocument/2006/relationships/hyperlink" Target="https://www.basengreen.com/uk/what-is-a-photovoltaic-modul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olartech.if.ua/avtonomna-vs-merezheva-vs-hibrydna-ses/"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www.rittal.com/ua-en/ua-blog/Battery_Energy_Storage_System_energy_source_for_future" TargetMode="External"/><Relationship Id="rId4" Type="http://schemas.openxmlformats.org/officeDocument/2006/relationships/webSettings" Target="webSettings.xml"/><Relationship Id="rId9" Type="http://schemas.openxmlformats.org/officeDocument/2006/relationships/hyperlink" Target="https://automedia.com.ua/dyzelnyj-generator-tehnichni-osoblyvosti-konstrukcziya-ta-prynczypy-efektyvnoyi-robo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5</Pages>
  <Words>4550</Words>
  <Characters>2595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 АЗ</dc:creator>
  <cp:keywords/>
  <dc:description/>
  <cp:lastModifiedBy>Admin</cp:lastModifiedBy>
  <cp:revision>6</cp:revision>
  <dcterms:created xsi:type="dcterms:W3CDTF">2026-04-28T09:14:00Z</dcterms:created>
  <dcterms:modified xsi:type="dcterms:W3CDTF">2026-04-30T06:44:00Z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ab701f88f1967915c216b0e5c5c71a8cf95a16b4d69f1967d3d2afe3ae6d3f09</vt:lpwstr>
  </property>
</Properties>
</file>