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1AC" w:rsidRPr="00263BB8" w:rsidRDefault="002F11AC" w:rsidP="00FB5784">
      <w:pPr>
        <w:spacing w:after="0" w:line="360" w:lineRule="auto"/>
        <w:ind w:firstLine="425"/>
        <w:jc w:val="right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263BB8">
        <w:rPr>
          <w:rFonts w:ascii="Times New Roman" w:hAnsi="Times New Roman"/>
          <w:b/>
          <w:iCs/>
          <w:sz w:val="28"/>
          <w:szCs w:val="28"/>
          <w:lang w:val="uk-UA"/>
        </w:rPr>
        <w:t xml:space="preserve">Любов Василенко </w:t>
      </w:r>
    </w:p>
    <w:p w:rsidR="002F11AC" w:rsidRPr="00263BB8" w:rsidRDefault="002F11AC" w:rsidP="00FB5784">
      <w:pPr>
        <w:spacing w:after="0" w:line="360" w:lineRule="auto"/>
        <w:ind w:firstLine="425"/>
        <w:jc w:val="right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263BB8">
        <w:rPr>
          <w:rFonts w:ascii="Times New Roman" w:hAnsi="Times New Roman"/>
          <w:b/>
          <w:iCs/>
          <w:sz w:val="28"/>
          <w:szCs w:val="28"/>
          <w:lang w:val="uk-UA"/>
        </w:rPr>
        <w:t>(Богуслав, Україна)</w:t>
      </w:r>
    </w:p>
    <w:p w:rsidR="002F11AC" w:rsidRPr="00FB5784" w:rsidRDefault="002F11AC" w:rsidP="00FB5784">
      <w:pPr>
        <w:spacing w:after="0" w:line="360" w:lineRule="auto"/>
        <w:ind w:firstLine="42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F11AC" w:rsidRDefault="002F11AC" w:rsidP="00FB5784">
      <w:pPr>
        <w:spacing w:after="0" w:line="360" w:lineRule="auto"/>
        <w:ind w:firstLine="42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008FB">
        <w:rPr>
          <w:rFonts w:ascii="Times New Roman" w:hAnsi="Times New Roman"/>
          <w:b/>
          <w:bCs/>
          <w:sz w:val="28"/>
          <w:szCs w:val="28"/>
          <w:lang w:val="uk-UA"/>
        </w:rPr>
        <w:t>СОЦІАЛЬНИЙ СУПРОВІД ЯК КЛЮЧОВИЙ МЕХАНІЗМ ПІДТРИМКИ СІМЕЙ У СЖО</w:t>
      </w:r>
    </w:p>
    <w:p w:rsidR="002F11AC" w:rsidRPr="00D008FB" w:rsidRDefault="002F11AC" w:rsidP="00FB5784">
      <w:pPr>
        <w:spacing w:after="0" w:line="360" w:lineRule="auto"/>
        <w:ind w:firstLine="42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Сім’я відіграє особливу й важливу роль та є необхідним компонентом соціальної структури будь-якого суспільства, а також головним осередком організації побуту, найважливішою його виробничою та споживчою одиницею. Поява складних життєвих обставин (СЖО) порушує функціонування сім’ї як суспільної одиниці [4, с.84].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Поняття «складні життєві обставини» визначено у Законі України «Про соціальні послуги» – це обставини, що негативно впливають на життя, стан здоров’я та розвиток особи, функціонування сім’ї, які особа/сім’я не може подолати самостійно [1].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Даний Закону визначає складні життєві обставини як обставини, спричинені інвалідністю, віком, станом здоров’я, соціальним становищем, життєвими звичками і способом життя, внаслідок яких особа частково або повністю не має (не набула або втратила) здатності чи можливості самостійно піклуватися про особисте (сімейне) життя та брати участь у суспільному житті [1].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5555AD">
        <w:rPr>
          <w:rFonts w:ascii="Times New Roman" w:hAnsi="Times New Roman"/>
          <w:sz w:val="28"/>
          <w:szCs w:val="28"/>
          <w:lang w:val="uk-UA"/>
        </w:rPr>
        <w:t>До осіб/сімей, які мають найвищий ризик потрапляння у складні життєві обставини через вплив несприятливих зовнішніх або внутрішніх чинників належать:</w:t>
      </w:r>
      <w:bookmarkStart w:id="0" w:name="n35"/>
      <w:bookmarkEnd w:id="0"/>
      <w:r w:rsidRPr="005555AD">
        <w:rPr>
          <w:rFonts w:ascii="Times New Roman" w:hAnsi="Times New Roman"/>
          <w:sz w:val="28"/>
          <w:szCs w:val="28"/>
          <w:lang w:val="uk-UA"/>
        </w:rPr>
        <w:t>сім’ї, у яких дітей відібрано у батьків без позбавлення їх батьківських прав;</w:t>
      </w:r>
      <w:bookmarkStart w:id="1" w:name="n36"/>
      <w:bookmarkEnd w:id="1"/>
      <w:r w:rsidRPr="005555AD">
        <w:rPr>
          <w:rFonts w:ascii="Times New Roman" w:hAnsi="Times New Roman"/>
          <w:sz w:val="28"/>
          <w:szCs w:val="28"/>
          <w:lang w:val="uk-UA"/>
        </w:rPr>
        <w:t>сім’ї, де триває процес розлучення батьків і вирішується спір між матір’ю та батьком щодо визначення місця проживання дітей, участі батьків у їх вихованні;</w:t>
      </w:r>
      <w:bookmarkStart w:id="2" w:name="n37"/>
      <w:bookmarkEnd w:id="2"/>
      <w:r w:rsidRPr="005555AD">
        <w:rPr>
          <w:rFonts w:ascii="Times New Roman" w:hAnsi="Times New Roman"/>
          <w:sz w:val="28"/>
          <w:szCs w:val="28"/>
          <w:lang w:val="uk-UA"/>
        </w:rPr>
        <w:t>сім’ї з дітьми, в яких тривала хвороба батьків перешкоджає їм виконувати свої батьківські обов’язки;</w:t>
      </w:r>
      <w:bookmarkStart w:id="3" w:name="n38"/>
      <w:bookmarkEnd w:id="3"/>
      <w:r w:rsidRPr="005555AD">
        <w:rPr>
          <w:rFonts w:ascii="Times New Roman" w:hAnsi="Times New Roman"/>
          <w:sz w:val="28"/>
          <w:szCs w:val="28"/>
          <w:lang w:val="uk-UA"/>
        </w:rPr>
        <w:t>сім’ї, у яких виховуються діти з інвалідністю, та сім’ї з дітьми, у яких батьки мають інвалідність;</w:t>
      </w:r>
      <w:bookmarkStart w:id="4" w:name="n39"/>
      <w:bookmarkEnd w:id="4"/>
      <w:r w:rsidRPr="005555AD">
        <w:rPr>
          <w:rFonts w:ascii="Times New Roman" w:hAnsi="Times New Roman"/>
          <w:sz w:val="28"/>
          <w:szCs w:val="28"/>
          <w:lang w:val="uk-UA"/>
        </w:rPr>
        <w:t>сім’ї, у яких батьків поновлено в батьківських правах;</w:t>
      </w:r>
      <w:bookmarkStart w:id="5" w:name="n40"/>
      <w:bookmarkEnd w:id="5"/>
      <w:r w:rsidRPr="005555AD">
        <w:rPr>
          <w:rFonts w:ascii="Times New Roman" w:hAnsi="Times New Roman"/>
          <w:sz w:val="28"/>
          <w:szCs w:val="28"/>
          <w:lang w:val="uk-UA"/>
        </w:rPr>
        <w:t>сім’ї з дітьми, де батьки є трудовими мігрантами;</w:t>
      </w:r>
      <w:bookmarkStart w:id="6" w:name="n41"/>
      <w:bookmarkEnd w:id="6"/>
      <w:r w:rsidRPr="005555AD">
        <w:rPr>
          <w:rFonts w:ascii="Times New Roman" w:hAnsi="Times New Roman"/>
          <w:sz w:val="28"/>
          <w:szCs w:val="28"/>
          <w:lang w:val="uk-UA"/>
        </w:rPr>
        <w:t>малозабезпечені сім’ї з дітьми;</w:t>
      </w:r>
      <w:bookmarkStart w:id="7" w:name="n42"/>
      <w:bookmarkEnd w:id="7"/>
      <w:r w:rsidRPr="005555AD">
        <w:rPr>
          <w:rFonts w:ascii="Times New Roman" w:hAnsi="Times New Roman"/>
          <w:sz w:val="28"/>
          <w:szCs w:val="28"/>
          <w:lang w:val="uk-UA"/>
        </w:rPr>
        <w:t>сім’ї, діти з яких перебувають у закладах інституційного догляду та виховання;</w:t>
      </w:r>
      <w:bookmarkStart w:id="8" w:name="n43"/>
      <w:bookmarkEnd w:id="8"/>
      <w:r w:rsidRPr="005555AD">
        <w:rPr>
          <w:rFonts w:ascii="Times New Roman" w:hAnsi="Times New Roman"/>
          <w:sz w:val="28"/>
          <w:szCs w:val="28"/>
          <w:lang w:val="uk-UA"/>
        </w:rPr>
        <w:t>сім’ї, дітей з яких влаштовано в сім’ю патронатного вихователя;сім’ї, у яких діти систематично самовільно залишають місце проживання;</w:t>
      </w:r>
      <w:bookmarkStart w:id="9" w:name="n45"/>
      <w:bookmarkEnd w:id="9"/>
      <w:r w:rsidRPr="005555AD">
        <w:rPr>
          <w:rFonts w:ascii="Times New Roman" w:hAnsi="Times New Roman"/>
          <w:sz w:val="28"/>
          <w:szCs w:val="28"/>
          <w:lang w:val="uk-UA"/>
        </w:rPr>
        <w:t>сім’ї, у яких діти систематично без поважних причин не відвідують заклади освіти;</w:t>
      </w:r>
      <w:bookmarkStart w:id="10" w:name="n46"/>
      <w:bookmarkEnd w:id="10"/>
      <w:r w:rsidRPr="005555AD">
        <w:rPr>
          <w:rFonts w:ascii="Times New Roman" w:hAnsi="Times New Roman"/>
          <w:sz w:val="28"/>
          <w:szCs w:val="28"/>
          <w:lang w:val="uk-UA"/>
        </w:rPr>
        <w:t>жінки, які виявили намір відмовитися від новонародженої дитини;</w:t>
      </w:r>
      <w:bookmarkStart w:id="11" w:name="n47"/>
      <w:bookmarkEnd w:id="11"/>
      <w:r w:rsidRPr="005555AD">
        <w:rPr>
          <w:rFonts w:ascii="Times New Roman" w:hAnsi="Times New Roman"/>
          <w:sz w:val="28"/>
          <w:szCs w:val="28"/>
          <w:lang w:val="uk-UA"/>
        </w:rPr>
        <w:t>неповнолітні одинокі матері (батьки);</w:t>
      </w:r>
      <w:bookmarkStart w:id="12" w:name="n48"/>
      <w:bookmarkEnd w:id="12"/>
      <w:r w:rsidRPr="005555AD">
        <w:rPr>
          <w:rFonts w:ascii="Times New Roman" w:hAnsi="Times New Roman"/>
          <w:sz w:val="28"/>
          <w:szCs w:val="28"/>
          <w:lang w:val="uk-UA"/>
        </w:rPr>
        <w:t>діти, які перебувають на вихованні в сім’ях опікунів, піклувальників, прийомних сім’ях, дитячих будинках сімейного типу;</w:t>
      </w:r>
      <w:bookmarkStart w:id="13" w:name="n49"/>
      <w:bookmarkEnd w:id="13"/>
      <w:r w:rsidRPr="005555AD">
        <w:rPr>
          <w:rFonts w:ascii="Times New Roman" w:hAnsi="Times New Roman"/>
          <w:sz w:val="28"/>
          <w:szCs w:val="28"/>
          <w:lang w:val="uk-UA"/>
        </w:rPr>
        <w:t>особи з числа дітей-сиріт і дітей, позбавлених батьківського піклування;</w:t>
      </w:r>
      <w:bookmarkStart w:id="14" w:name="n50"/>
      <w:bookmarkEnd w:id="14"/>
      <w:r w:rsidRPr="005555AD">
        <w:rPr>
          <w:rFonts w:ascii="Times New Roman" w:hAnsi="Times New Roman"/>
          <w:sz w:val="28"/>
          <w:szCs w:val="28"/>
          <w:lang w:val="uk-UA"/>
        </w:rPr>
        <w:t>особи з особливими освітніми потребами;</w:t>
      </w:r>
      <w:bookmarkStart w:id="15" w:name="n51"/>
      <w:bookmarkEnd w:id="15"/>
      <w:r w:rsidRPr="005555AD">
        <w:rPr>
          <w:rFonts w:ascii="Times New Roman" w:hAnsi="Times New Roman"/>
          <w:sz w:val="28"/>
          <w:szCs w:val="28"/>
          <w:lang w:val="uk-UA"/>
        </w:rPr>
        <w:t>внутрішньо переміщені особи;</w:t>
      </w:r>
      <w:bookmarkStart w:id="16" w:name="n52"/>
      <w:bookmarkEnd w:id="16"/>
      <w:r w:rsidRPr="005555AD">
        <w:rPr>
          <w:rFonts w:ascii="Times New Roman" w:hAnsi="Times New Roman"/>
          <w:sz w:val="28"/>
          <w:szCs w:val="28"/>
          <w:lang w:val="uk-UA"/>
        </w:rPr>
        <w:t>повнолітні недієздатні особи (у разі відсутності в них опікуна);</w:t>
      </w:r>
      <w:bookmarkStart w:id="17" w:name="n53"/>
      <w:bookmarkEnd w:id="17"/>
      <w:r w:rsidRPr="005555AD">
        <w:rPr>
          <w:rFonts w:ascii="Times New Roman" w:hAnsi="Times New Roman"/>
          <w:sz w:val="28"/>
          <w:szCs w:val="28"/>
          <w:lang w:val="uk-UA"/>
        </w:rPr>
        <w:t>особи, звільнені з місць позбавлення волі;</w:t>
      </w:r>
      <w:bookmarkStart w:id="18" w:name="n54"/>
      <w:bookmarkEnd w:id="18"/>
      <w:r w:rsidRPr="005555AD">
        <w:rPr>
          <w:rFonts w:ascii="Times New Roman" w:hAnsi="Times New Roman"/>
          <w:sz w:val="28"/>
          <w:szCs w:val="28"/>
          <w:lang w:val="uk-UA"/>
        </w:rPr>
        <w:t>особи, які захищали незалежність, суверенітет та територіальну цілісність України і брали безпосередню участь в антитерористичній операції,</w:t>
      </w:r>
      <w:r w:rsidRPr="00D008FB">
        <w:rPr>
          <w:rFonts w:ascii="Times New Roman" w:hAnsi="Times New Roman"/>
          <w:sz w:val="28"/>
          <w:szCs w:val="28"/>
          <w:lang w:val="uk-UA"/>
        </w:rPr>
        <w:t xml:space="preserve"> особи, які проживають на тимчасово окупованій території України та періодично перебувають на території України, особи, стосовно яких встановлено факт позбавлення особистої свободи внаслідок збройної агресії проти України [2].</w:t>
      </w:r>
    </w:p>
    <w:p w:rsidR="002F11AC" w:rsidRPr="005555AD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Суб’єктами виявлення осіб/сімей, які належать до вразливих категорій населення або перебувають у складних життєвих обставинах, є структурні підрозділи з питань соціального захисту населення районних у мм. Києві та Севастополі держадміністрацій, виконавчі органи сільських, селищних, міських рад, центри соціальних служб, центри надання соціальних послуг, територіальні центри соціального обслуговування (надання соціальних послуг), інші установи/заклади надання соціальних послуг, служби у справах дітей, соціальні менеджери, фахівці із соціальної роботи, соціальні працівники, заклади освіти, охорони здоров’я, установи з надання безоплатної первинної правничої допомоги, центри з надання безоплатної вторинної правничої допомоги, а також підприємства, установи, організації незалежно від форми власності, громадські об’єднання, благодійні, релігійні організації, фізичні особи - підприємці та фізичні особи, які надають соціальні послуги з догляду без провадження підприємницької діяльності, волонтери [2].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bookmarkStart w:id="19" w:name="n44"/>
      <w:bookmarkEnd w:id="19"/>
      <w:r w:rsidRPr="00D008FB">
        <w:rPr>
          <w:rFonts w:ascii="Times New Roman" w:hAnsi="Times New Roman"/>
          <w:sz w:val="28"/>
          <w:szCs w:val="28"/>
          <w:lang w:val="uk-UA"/>
        </w:rPr>
        <w:t>Виявлення сімей (осіб), які перебувають у складних життєвих обставинах, здійснюється фахівцями шляхом відвідування, розгляду інформації, поданої суб’єктами, та звернень таких сімей (осіб) з метою своєчасного надання соціальних послуг.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color w:val="EE0000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Під час відвідування сім’ї (особи) фахівці проводять оцінку її потреб у наданні соціальних послуг, обстеження (за згодою) матеріально-побутових умов, визначають методи соціальної роботи.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color w:val="EE0000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Оцінювання має бути об’єктивним, конфіденційним і спрямованим на захист інтересів людини. За результатами оцінки приймається рішення про надання соціальних послуг, види і терміни яких визначаються індивідуально [5, с. 117].</w:t>
      </w:r>
    </w:p>
    <w:p w:rsidR="002F11AC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Після проведення оцінки потреб у наданні сім’ї (особі), яка перебуває у складних життєвих обставинах, соціальних послуг, обстеження її матеріально-побутових умов керівник центру видає наказ про здійснення соціального супроводу сім’ї, призначає фахівця, відповідального за його здійснення, та укладає протягом семи робочих днів договір із сім’єю про здійснення соціального супроводу, у якому визначається індивідуальний план роботи, мета, завдання та очікувані результати [2].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Строк складання індивідуального плану не повинен перевищувати 5 робочих днів з дати завершення оцінки потреб отримувача соціальної послуги [3].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Один примірник індивідуального плану надається отримувачеві соціальної послуги або його законному представнику, інший залишається у суб’єкта, що надає соціальну послугу. У плані супроводу зазначається перелік соціальних послуг, що можуть бути надані суб’єктами відповідно до їх компетенції [3].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Соціальний працівник не лише надає допомогу, а й мотивує клієнтів до змін, сприяє розвитку їхніх життєвих навичок, соціальної активності, відповідального ставлення до власного життя і дітей.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Важливо, що під час усього процесу дотримуються основні принципи соціальної роботи: добровільність звернення, повага до гідності людини, конфіденційність, недискримінація, орієнтація на потреби отримувача. Особлива увага приділяється захисту прав дитини. У випадках, коли сім’я не спроможна забезпечити безпеку та розвиток дітей, соціальні служби мають право залучати службу у справах дітей або правоохоронні органи [5, 115].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Навантаження на одного надавача соціальної послуги не повинно перевищувати 10 сімей (осіб), із них не більше ніж п’ять - зі складними соціальними випадками.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Тривалість здійснення соціального супроводу визначається індивідуально для кожної сім’ї чи особи, що перебуває у складних життєвих обставинах. При цьому враховуються характер і гострота проблеми, рівень здатності самостійно подолати або мінімізувати її наслідки, а також наявність соціальних зв’язків та підтримки з боку оточення. Загальний термін надання соціального супроводу, як правило, не перевищує шести місяців. В окремих випадках, коли обставини потребують більш тривалої роботи, строк може бути продовжено за рішенням відповідної комісії або структурного підрозділу з питань соціального захисту населення — але не більше ніж до одного року [4, с.78].</w:t>
      </w:r>
    </w:p>
    <w:p w:rsidR="002F11AC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bookmarkStart w:id="20" w:name="n102"/>
      <w:bookmarkEnd w:id="20"/>
      <w:r w:rsidRPr="00D008FB">
        <w:rPr>
          <w:rFonts w:ascii="Times New Roman" w:hAnsi="Times New Roman"/>
          <w:sz w:val="28"/>
          <w:szCs w:val="28"/>
          <w:lang w:val="uk-UA"/>
        </w:rPr>
        <w:t>Завершення соціального супроводу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08FB">
        <w:rPr>
          <w:rFonts w:ascii="Times New Roman" w:hAnsi="Times New Roman"/>
          <w:sz w:val="28"/>
          <w:szCs w:val="28"/>
          <w:lang w:val="uk-UA"/>
        </w:rPr>
        <w:t>є досить важливим етапом, оскільки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08FB">
        <w:rPr>
          <w:rFonts w:ascii="Times New Roman" w:hAnsi="Times New Roman"/>
          <w:sz w:val="28"/>
          <w:szCs w:val="28"/>
          <w:lang w:val="uk-UA"/>
        </w:rPr>
        <w:t>неналежна увага може спровокувати рецидив – сім’я поступово втратить напрацьовані надбання і навички і знову потрапить у ситуацію з якою самостійно не зможе впоратися.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Виконання плану соціального супроводу може бути припинено у кількох випадках: досягнення позитивного результату соціального супроводу, подолання/мінімізація сім’єю (особою) наслідків СЖО; закінчення строку дії договору про надання послуги соціального супроводу або порушення умов такого договору; зміна отримувачем соціальної послуги місця проживання чи перебування; письмова відмова отримувача послуги або його законного представника від її надання, якщо така відмова або її наслідки не спричиняють порушення прав і свобод інших осіб, особливо дітей; систематична неучасть отримувача послуги без поважних причин у заходах, передбачених індивідуальним планом соціального супроводу, за винятком ситуації, коли припинення надання послуги спричиняє порушення прав і свобод інших осіб, особливо дітей [6, с.96].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Після завершення соціального супроводу надавач соціальної послуги відвідує сім’ю (особу) через два тижні та через місяць [3].</w:t>
      </w:r>
    </w:p>
    <w:p w:rsidR="002F11AC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Таким чином, соціальний супровід є ключовим механізмом підтримки сімей у складних життєвих обставинах, поєднуючи виявлення потреб, надання соціальних послуг і системний супровід. Його ефективність визначається професійністю соціальних працівників, комплексністю підходу, партнерством із сім’єю та інтеграцією з іншими інституціями. Соціальний супровід не лише допомагає сім’ї подолати кризу, а й формує умови для її стабільності, самостійності та готовності до майбутніх викликів [5, с.128].</w:t>
      </w:r>
    </w:p>
    <w:p w:rsidR="002F11AC" w:rsidRPr="00D008FB" w:rsidRDefault="002F11AC" w:rsidP="00FB578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11AC" w:rsidRPr="00D008FB" w:rsidRDefault="002F11AC" w:rsidP="00263BB8">
      <w:pPr>
        <w:pStyle w:val="Heading1"/>
        <w:spacing w:before="0" w:line="360" w:lineRule="auto"/>
        <w:ind w:firstLine="425"/>
        <w:rPr>
          <w:rFonts w:ascii="Times New Roman" w:hAnsi="Times New Roman"/>
          <w:color w:val="auto"/>
          <w:lang w:val="uk-UA"/>
        </w:rPr>
      </w:pPr>
      <w:r w:rsidRPr="00D008FB">
        <w:rPr>
          <w:rFonts w:ascii="Times New Roman" w:hAnsi="Times New Roman"/>
          <w:color w:val="auto"/>
          <w:lang w:val="uk-UA"/>
        </w:rPr>
        <w:t>Література</w:t>
      </w:r>
      <w:r>
        <w:rPr>
          <w:rFonts w:ascii="Times New Roman" w:hAnsi="Times New Roman"/>
          <w:color w:val="auto"/>
          <w:lang w:val="uk-UA"/>
        </w:rPr>
        <w:t>:</w:t>
      </w:r>
    </w:p>
    <w:p w:rsidR="002F11AC" w:rsidRPr="00D008FB" w:rsidRDefault="002F11AC" w:rsidP="00FB5784">
      <w:pPr>
        <w:pStyle w:val="ListParagraph"/>
        <w:numPr>
          <w:ilvl w:val="0"/>
          <w:numId w:val="22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Про соціальні послуги : Закон України від 17.01.2019 № 2671-VIIIURL: </w:t>
      </w:r>
      <w:hyperlink r:id="rId5" w:anchor="Text" w:tgtFrame="_blank" w:history="1">
        <w:r w:rsidRPr="00D008FB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https://zakon.rada.gov.ua/laws/show/2671-19#Text</w:t>
        </w:r>
      </w:hyperlink>
      <w:r w:rsidRPr="00D008FB">
        <w:rPr>
          <w:rFonts w:ascii="Times New Roman" w:hAnsi="Times New Roman"/>
          <w:sz w:val="28"/>
          <w:szCs w:val="28"/>
          <w:lang w:val="uk-UA"/>
        </w:rPr>
        <w:t> </w:t>
      </w:r>
    </w:p>
    <w:p w:rsidR="002F11AC" w:rsidRPr="00D008FB" w:rsidRDefault="002F11AC" w:rsidP="00FB5784">
      <w:pPr>
        <w:pStyle w:val="ListParagraph"/>
        <w:numPr>
          <w:ilvl w:val="0"/>
          <w:numId w:val="22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Порядок організації надання соціальних послуг: Постанова Каб. Міністрів України від 1 червня 2020 р. № 587: URL: </w:t>
      </w:r>
      <w:hyperlink r:id="rId6" w:anchor="Text" w:history="1">
        <w:r w:rsidRPr="00D008FB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https://zakon.rada.gov.ua/laws/show/587-2020-%D0%BF#Text</w:t>
        </w:r>
      </w:hyperlink>
    </w:p>
    <w:p w:rsidR="002F11AC" w:rsidRPr="00D008FB" w:rsidRDefault="002F11AC" w:rsidP="00FB5784">
      <w:pPr>
        <w:pStyle w:val="ListParagraph"/>
        <w:numPr>
          <w:ilvl w:val="0"/>
          <w:numId w:val="22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Про затвердження Державного стандарту соціального супроводу сімей (осіб), які перебувають у складних життєвих обставинах : Наказ Міністерства соціальної політики України від 31.03.2016 № 318URL: </w:t>
      </w:r>
      <w:hyperlink r:id="rId7" w:anchor="Text" w:tgtFrame="_blank" w:history="1">
        <w:r w:rsidRPr="00D008FB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https://zakon.rada.gov.ua/laws/show/z0621-16#Text</w:t>
        </w:r>
      </w:hyperlink>
    </w:p>
    <w:p w:rsidR="002F11AC" w:rsidRPr="00D008FB" w:rsidRDefault="002F11AC" w:rsidP="00FB5784">
      <w:pPr>
        <w:pStyle w:val="ListParagraph"/>
        <w:numPr>
          <w:ilvl w:val="0"/>
          <w:numId w:val="22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Капська А. Соціальна педагогіка. - К: Центр учб. літ., 2017. - 412 с.</w:t>
      </w:r>
    </w:p>
    <w:p w:rsidR="002F11AC" w:rsidRPr="00D008FB" w:rsidRDefault="002F11AC" w:rsidP="00FB5784">
      <w:pPr>
        <w:pStyle w:val="ListParagraph"/>
        <w:numPr>
          <w:ilvl w:val="0"/>
          <w:numId w:val="22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Капська А. Соціальний супровід різних категорій сімей та дітей. - К: Центр учб. літ., 2017. - 232 с.</w:t>
      </w:r>
    </w:p>
    <w:p w:rsidR="002F11AC" w:rsidRPr="00D008FB" w:rsidRDefault="002F11AC" w:rsidP="00FB5784">
      <w:pPr>
        <w:pStyle w:val="ListParagraph"/>
        <w:numPr>
          <w:ilvl w:val="0"/>
          <w:numId w:val="22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D008FB">
        <w:rPr>
          <w:rFonts w:ascii="Times New Roman" w:hAnsi="Times New Roman"/>
          <w:sz w:val="28"/>
          <w:szCs w:val="28"/>
          <w:lang w:val="uk-UA"/>
        </w:rPr>
        <w:t>Кузьменко І. Теорія та практика соціального супроводу. - Харків: ХНУ ім. В.Н.Каразіна, 2021. - 263 с.</w:t>
      </w:r>
    </w:p>
    <w:sectPr w:rsidR="002F11AC" w:rsidRPr="00D008FB" w:rsidSect="00433E22">
      <w:pgSz w:w="12240" w:h="15840"/>
      <w:pgMar w:top="1134" w:right="1134" w:bottom="1134" w:left="1134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FB1269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3844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FFFFFF89"/>
    <w:multiLevelType w:val="singleLevel"/>
    <w:tmpl w:val="29761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180464A"/>
    <w:multiLevelType w:val="hybridMultilevel"/>
    <w:tmpl w:val="8390B708"/>
    <w:lvl w:ilvl="0" w:tplc="90CEBA10">
      <w:start w:val="1"/>
      <w:numFmt w:val="decimal"/>
      <w:lvlText w:val="%1."/>
      <w:lvlJc w:val="left"/>
      <w:pPr>
        <w:ind w:left="70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6"/>
  </w:num>
  <w:num w:numId="15">
    <w:abstractNumId w:val="5"/>
  </w:num>
  <w:num w:numId="16">
    <w:abstractNumId w:val="4"/>
  </w:num>
  <w:num w:numId="17">
    <w:abstractNumId w:val="7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730"/>
    <w:rsid w:val="00034616"/>
    <w:rsid w:val="0006063C"/>
    <w:rsid w:val="00066363"/>
    <w:rsid w:val="000C0AD7"/>
    <w:rsid w:val="000E0FD8"/>
    <w:rsid w:val="001316E8"/>
    <w:rsid w:val="0015074B"/>
    <w:rsid w:val="001C4011"/>
    <w:rsid w:val="00210BFE"/>
    <w:rsid w:val="00247966"/>
    <w:rsid w:val="00255713"/>
    <w:rsid w:val="00263BB8"/>
    <w:rsid w:val="0029639D"/>
    <w:rsid w:val="002A7622"/>
    <w:rsid w:val="002C7BCC"/>
    <w:rsid w:val="002F11AC"/>
    <w:rsid w:val="00326F90"/>
    <w:rsid w:val="003B34CC"/>
    <w:rsid w:val="00433E22"/>
    <w:rsid w:val="004D4C18"/>
    <w:rsid w:val="005555AD"/>
    <w:rsid w:val="005D389B"/>
    <w:rsid w:val="00625844"/>
    <w:rsid w:val="00646F9E"/>
    <w:rsid w:val="0065620B"/>
    <w:rsid w:val="0066537D"/>
    <w:rsid w:val="00690FDA"/>
    <w:rsid w:val="006A1304"/>
    <w:rsid w:val="006E71A9"/>
    <w:rsid w:val="007621B0"/>
    <w:rsid w:val="00784D4E"/>
    <w:rsid w:val="00824BED"/>
    <w:rsid w:val="008456B7"/>
    <w:rsid w:val="0092516E"/>
    <w:rsid w:val="00A238ED"/>
    <w:rsid w:val="00A256A4"/>
    <w:rsid w:val="00A6784A"/>
    <w:rsid w:val="00A9538A"/>
    <w:rsid w:val="00A95D20"/>
    <w:rsid w:val="00AA1D8D"/>
    <w:rsid w:val="00B47730"/>
    <w:rsid w:val="00BE78EE"/>
    <w:rsid w:val="00C461F9"/>
    <w:rsid w:val="00CB0664"/>
    <w:rsid w:val="00CB21B0"/>
    <w:rsid w:val="00D008FB"/>
    <w:rsid w:val="00D00ECE"/>
    <w:rsid w:val="00D33939"/>
    <w:rsid w:val="00D36E08"/>
    <w:rsid w:val="00D60ECC"/>
    <w:rsid w:val="00DB5407"/>
    <w:rsid w:val="00DC4869"/>
    <w:rsid w:val="00F10B22"/>
    <w:rsid w:val="00F331FF"/>
    <w:rsid w:val="00F650A7"/>
    <w:rsid w:val="00F76411"/>
    <w:rsid w:val="00FB5784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4796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693F"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693F"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693F"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693F"/>
    <w:pPr>
      <w:keepNext/>
      <w:keepLines/>
      <w:spacing w:before="200" w:after="0"/>
      <w:outlineLvl w:val="4"/>
    </w:pPr>
    <w:rPr>
      <w:rFonts w:ascii="Calibri" w:eastAsia="MS Gothic" w:hAnsi="Calibri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C693F"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693F"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C693F"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C693F"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693F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693F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C693F"/>
    <w:rPr>
      <w:rFonts w:ascii="Calibri" w:eastAsia="MS Gothic" w:hAnsi="Calibri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C693F"/>
    <w:rPr>
      <w:rFonts w:ascii="Calibri" w:eastAsia="MS Gothic" w:hAnsi="Calibri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C693F"/>
    <w:rPr>
      <w:rFonts w:ascii="Calibri" w:eastAsia="MS Gothic" w:hAnsi="Calibri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C693F"/>
    <w:rPr>
      <w:rFonts w:ascii="Calibri" w:eastAsia="MS Gothic" w:hAnsi="Calibri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C693F"/>
    <w:rPr>
      <w:rFonts w:ascii="Calibri" w:eastAsia="MS Gothic" w:hAnsi="Calibri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C693F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C693F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styleId="NoSpacing">
    <w:name w:val="No Spacing"/>
    <w:uiPriority w:val="99"/>
    <w:qFormat/>
    <w:rsid w:val="00FC693F"/>
  </w:style>
  <w:style w:type="paragraph" w:styleId="Title">
    <w:name w:val="Title"/>
    <w:basedOn w:val="Normal"/>
    <w:next w:val="Normal"/>
    <w:link w:val="TitleChar"/>
    <w:uiPriority w:val="99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C693F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C693F"/>
    <w:pPr>
      <w:numPr>
        <w:ilvl w:val="1"/>
      </w:numPr>
    </w:pPr>
    <w:rPr>
      <w:rFonts w:ascii="Calibri" w:eastAsia="MS Gothic" w:hAnsi="Calibri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C693F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99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A1D8D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A1D8D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A1D8D"/>
    <w:rPr>
      <w:rFonts w:cs="Times New Roman"/>
      <w:sz w:val="16"/>
      <w:szCs w:val="16"/>
    </w:rPr>
  </w:style>
  <w:style w:type="paragraph" w:styleId="List">
    <w:name w:val="List"/>
    <w:basedOn w:val="Normal"/>
    <w:uiPriority w:val="99"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rsid w:val="00326F90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rsid w:val="00326F90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rsid w:val="00326F90"/>
    <w:pPr>
      <w:numPr>
        <w:numId w:val="9"/>
      </w:numPr>
      <w:contextualSpacing/>
    </w:pPr>
  </w:style>
  <w:style w:type="paragraph" w:styleId="ListNumber">
    <w:name w:val="List Number"/>
    <w:basedOn w:val="Normal"/>
    <w:uiPriority w:val="99"/>
    <w:rsid w:val="00326F90"/>
    <w:pPr>
      <w:numPr>
        <w:numId w:val="11"/>
      </w:numPr>
      <w:tabs>
        <w:tab w:val="clear" w:pos="72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rsid w:val="0029639D"/>
    <w:pPr>
      <w:numPr>
        <w:numId w:val="12"/>
      </w:numPr>
      <w:tabs>
        <w:tab w:val="clear" w:pos="1080"/>
        <w:tab w:val="num" w:pos="720"/>
      </w:tabs>
      <w:ind w:left="720"/>
      <w:contextualSpacing/>
    </w:pPr>
  </w:style>
  <w:style w:type="paragraph" w:styleId="ListNumber3">
    <w:name w:val="List Number 3"/>
    <w:basedOn w:val="Normal"/>
    <w:uiPriority w:val="99"/>
    <w:rsid w:val="0029639D"/>
    <w:pPr>
      <w:numPr>
        <w:numId w:val="13"/>
      </w:numPr>
      <w:tabs>
        <w:tab w:val="clear" w:pos="360"/>
        <w:tab w:val="num" w:pos="1080"/>
      </w:tabs>
      <w:ind w:left="1080"/>
      <w:contextualSpacing/>
    </w:pPr>
  </w:style>
  <w:style w:type="paragraph" w:styleId="ListContinue">
    <w:name w:val="List Continue"/>
    <w:basedOn w:val="Normal"/>
    <w:uiPriority w:val="99"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locked/>
    <w:rsid w:val="0029639D"/>
    <w:rPr>
      <w:rFonts w:ascii="Courier" w:hAnsi="Courier" w:cs="Times New Roman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99"/>
    <w:qFormat/>
    <w:rsid w:val="00FC693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FC693F"/>
    <w:rPr>
      <w:rFonts w:cs="Times New Roman"/>
      <w:i/>
      <w:iCs/>
      <w:color w:val="000000"/>
    </w:rPr>
  </w:style>
  <w:style w:type="paragraph" w:styleId="Caption">
    <w:name w:val="caption"/>
    <w:basedOn w:val="Normal"/>
    <w:next w:val="Normal"/>
    <w:uiPriority w:val="99"/>
    <w:qFormat/>
    <w:rsid w:val="00FC693F"/>
    <w:pPr>
      <w:spacing w:line="240" w:lineRule="auto"/>
    </w:pPr>
    <w:rPr>
      <w:b/>
      <w:bCs/>
      <w:color w:val="4F81BD"/>
      <w:sz w:val="18"/>
      <w:szCs w:val="18"/>
    </w:rPr>
  </w:style>
  <w:style w:type="character" w:styleId="Strong">
    <w:name w:val="Strong"/>
    <w:basedOn w:val="DefaultParagraphFont"/>
    <w:uiPriority w:val="99"/>
    <w:qFormat/>
    <w:rsid w:val="00FC693F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C693F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C693F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FC693F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FC693F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FC693F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FC693F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FC693F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FC693F"/>
    <w:pPr>
      <w:outlineLvl w:val="9"/>
    </w:pPr>
  </w:style>
  <w:style w:type="table" w:styleId="TableGrid">
    <w:name w:val="Table Grid"/>
    <w:basedOn w:val="TableNormal"/>
    <w:uiPriority w:val="99"/>
    <w:rsid w:val="00FC69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99"/>
    <w:rsid w:val="00FC693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FC693F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99"/>
    <w:rsid w:val="00FC693F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FC693F"/>
    <w:rPr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FC693F"/>
    <w:rPr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99"/>
    <w:rsid w:val="00FC693F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99"/>
    <w:rsid w:val="00FC693F"/>
    <w:rPr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List">
    <w:name w:val="Light List"/>
    <w:basedOn w:val="TableNormal"/>
    <w:uiPriority w:val="99"/>
    <w:rsid w:val="00FC69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FC69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Grid">
    <w:name w:val="Light Grid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Shading1">
    <w:name w:val="Medium Shading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color w:val="000000"/>
      </w:rPr>
      <w:tblPr/>
      <w:tcPr>
        <w:shd w:val="clear" w:color="auto" w:fill="F8EDED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2EF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EF4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DarkList">
    <w:name w:val="Dark List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Shading">
    <w:name w:val="Colorful Shading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1">
    <w:name w:val="Colorful Shading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rPr>
        <w:rFonts w:cs="Times New Roman"/>
      </w:rPr>
      <w:tblPr/>
      <w:tcPr>
        <w:shd w:val="clear" w:color="auto" w:fill="CCC0D9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rPr>
        <w:rFonts w:cs="Times New Roman"/>
      </w:rPr>
      <w:tblPr/>
      <w:tcPr>
        <w:shd w:val="clear" w:color="auto" w:fill="FBD4B4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List">
    <w:name w:val="Colorful List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rFonts w:cs="Times New Roman"/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rFonts w:cs="Times New Roman"/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rFonts w:cs="Times New Roman"/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9D9"/>
      </w:tcPr>
    </w:tblStylePr>
  </w:style>
  <w:style w:type="table" w:styleId="ColorfulGrid">
    <w:name w:val="Colorful Grid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rFonts w:cs="Times New Roman"/>
        <w:b/>
        <w:bCs/>
      </w:rPr>
      <w:tblPr/>
      <w:tcPr>
        <w:shd w:val="clear" w:color="auto" w:fill="E5B8B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B8B7"/>
      </w:tcPr>
    </w:tblStylePr>
    <w:tblStylePr w:type="firstCol">
      <w:rPr>
        <w:rFonts w:cs="Times New Roman"/>
        <w:color w:val="FFFFFF"/>
      </w:rPr>
      <w:tblPr/>
      <w:tcPr>
        <w:shd w:val="clear" w:color="auto" w:fill="943634"/>
      </w:tcPr>
    </w:tblStylePr>
    <w:tblStylePr w:type="lastCol">
      <w:rPr>
        <w:rFonts w:cs="Times New Roman"/>
        <w:color w:val="FFFFFF"/>
      </w:rPr>
      <w:tblPr/>
      <w:tcPr>
        <w:shd w:val="clear" w:color="auto" w:fill="943634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rFonts w:cs="Times New Roman"/>
        <w:b/>
        <w:bCs/>
      </w:rPr>
      <w:tblPr/>
      <w:tcPr>
        <w:shd w:val="clear" w:color="auto" w:fill="D6E3B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D6E3BC"/>
      </w:tcPr>
    </w:tblStylePr>
    <w:tblStylePr w:type="firstCol">
      <w:rPr>
        <w:rFonts w:cs="Times New Roman"/>
        <w:color w:val="FFFFFF"/>
      </w:rPr>
      <w:tblPr/>
      <w:tcPr>
        <w:shd w:val="clear" w:color="auto" w:fill="76923C"/>
      </w:tcPr>
    </w:tblStylePr>
    <w:tblStylePr w:type="lastCol">
      <w:rPr>
        <w:rFonts w:cs="Times New Roman"/>
        <w:color w:val="FFFFFF"/>
      </w:rPr>
      <w:tblPr/>
      <w:tcPr>
        <w:shd w:val="clear" w:color="auto" w:fill="76923C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rFonts w:cs="Times New Roman"/>
        <w:b/>
        <w:bCs/>
      </w:rPr>
      <w:tblPr/>
      <w:tcPr>
        <w:shd w:val="clear" w:color="auto" w:fill="CCC0D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CC0D9"/>
      </w:tcPr>
    </w:tblStylePr>
    <w:tblStylePr w:type="firstCol">
      <w:rPr>
        <w:rFonts w:cs="Times New Roman"/>
        <w:color w:val="FFFFFF"/>
      </w:rPr>
      <w:tblPr/>
      <w:tcPr>
        <w:shd w:val="clear" w:color="auto" w:fill="5F497A"/>
      </w:tcPr>
    </w:tblStylePr>
    <w:tblStylePr w:type="lastCol">
      <w:rPr>
        <w:rFonts w:cs="Times New Roman"/>
        <w:color w:val="FFFFFF"/>
      </w:rPr>
      <w:tblPr/>
      <w:tcPr>
        <w:shd w:val="clear" w:color="auto" w:fill="5F497A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character" w:styleId="Hyperlink">
    <w:name w:val="Hyperlink"/>
    <w:basedOn w:val="DefaultParagraphFont"/>
    <w:uiPriority w:val="99"/>
    <w:rsid w:val="007621B0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7621B0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646F9E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semiHidden/>
    <w:rsid w:val="00690FD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0621-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587-2020-%D0%BF" TargetMode="External"/><Relationship Id="rId5" Type="http://schemas.openxmlformats.org/officeDocument/2006/relationships/hyperlink" Target="https://zakon.rada.gov.ua/laws/show/2671-1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328</TotalTime>
  <Pages>6</Pages>
  <Words>6102</Words>
  <Characters>3479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17</cp:revision>
  <dcterms:created xsi:type="dcterms:W3CDTF">2013-12-23T23:15:00Z</dcterms:created>
  <dcterms:modified xsi:type="dcterms:W3CDTF">2025-10-30T13:31:00Z</dcterms:modified>
</cp:coreProperties>
</file>