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D9D" w:rsidRDefault="00E03D9D" w:rsidP="00AD514C">
      <w:pPr>
        <w:pStyle w:val="NoSpacing"/>
        <w:tabs>
          <w:tab w:val="left" w:pos="3435"/>
          <w:tab w:val="center" w:pos="4677"/>
        </w:tabs>
        <w:jc w:val="right"/>
        <w:rPr>
          <w:rFonts w:ascii="Times New Roman" w:hAnsi="Times New Roman"/>
          <w:bCs/>
          <w:sz w:val="24"/>
          <w:szCs w:val="24"/>
          <w:lang w:val="en-US" w:eastAsia="ru-RU"/>
        </w:rPr>
      </w:pPr>
      <w:r>
        <w:rPr>
          <w:rFonts w:ascii="Times New Roman" w:hAnsi="Times New Roman"/>
          <w:bCs/>
          <w:sz w:val="24"/>
          <w:szCs w:val="24"/>
          <w:lang w:val="en-US" w:eastAsia="ru-RU"/>
        </w:rPr>
        <w:tab/>
      </w:r>
      <w:r>
        <w:rPr>
          <w:rFonts w:ascii="Times New Roman" w:hAnsi="Times New Roman"/>
          <w:bCs/>
          <w:sz w:val="24"/>
          <w:szCs w:val="24"/>
          <w:lang w:val="en-US" w:eastAsia="ru-RU"/>
        </w:rPr>
        <w:tab/>
      </w:r>
      <w:r w:rsidRPr="00EF6AFD">
        <w:rPr>
          <w:rFonts w:ascii="Times New Roman" w:hAnsi="Times New Roman"/>
          <w:bCs/>
          <w:sz w:val="24"/>
          <w:szCs w:val="24"/>
          <w:lang w:val="en-US" w:eastAsia="ru-RU"/>
        </w:rPr>
        <w:t>Lazzat</w:t>
      </w:r>
      <w:r w:rsidRPr="00AD514C">
        <w:rPr>
          <w:rFonts w:ascii="Times New Roman" w:hAnsi="Times New Roman"/>
          <w:bCs/>
          <w:sz w:val="24"/>
          <w:szCs w:val="24"/>
          <w:lang w:val="en-US" w:eastAsia="ru-RU"/>
        </w:rPr>
        <w:t xml:space="preserve"> </w:t>
      </w:r>
      <w:r w:rsidRPr="00EF6AFD">
        <w:rPr>
          <w:rFonts w:ascii="Times New Roman" w:hAnsi="Times New Roman"/>
          <w:bCs/>
          <w:sz w:val="24"/>
          <w:szCs w:val="24"/>
          <w:lang w:val="en-US" w:eastAsia="ru-RU"/>
        </w:rPr>
        <w:t>Zholdasbek</w:t>
      </w:r>
    </w:p>
    <w:p w:rsidR="00E03D9D" w:rsidRDefault="00E03D9D" w:rsidP="00AD514C">
      <w:pPr>
        <w:pStyle w:val="NoSpacing"/>
        <w:jc w:val="right"/>
        <w:rPr>
          <w:rFonts w:ascii="Times New Roman" w:hAnsi="Times New Roman"/>
          <w:bCs/>
          <w:sz w:val="24"/>
          <w:szCs w:val="24"/>
          <w:lang w:val="en-US" w:eastAsia="ru-RU"/>
        </w:rPr>
      </w:pPr>
      <w:smartTag w:uri="urn:schemas-microsoft-com:office:smarttags" w:element="place">
        <w:smartTag w:uri="urn:schemas-microsoft-com:office:smarttags" w:element="PlaceName">
          <w:r w:rsidRPr="00EF6AFD">
            <w:rPr>
              <w:rFonts w:ascii="Times New Roman" w:hAnsi="Times New Roman"/>
              <w:bCs/>
              <w:sz w:val="24"/>
              <w:szCs w:val="24"/>
              <w:lang w:val="en-US" w:eastAsia="ru-RU"/>
            </w:rPr>
            <w:t>South</w:t>
          </w:r>
        </w:smartTag>
        <w:r w:rsidRPr="00EF6AFD">
          <w:rPr>
            <w:rFonts w:ascii="Times New Roman" w:hAnsi="Times New Roman"/>
            <w:bCs/>
            <w:sz w:val="24"/>
            <w:szCs w:val="24"/>
            <w:lang w:val="en-US" w:eastAsia="ru-RU"/>
          </w:rPr>
          <w:t xml:space="preserve"> </w:t>
        </w:r>
        <w:smartTag w:uri="urn:schemas-microsoft-com:office:smarttags" w:element="PlaceName">
          <w:r w:rsidRPr="00EF6AFD">
            <w:rPr>
              <w:rFonts w:ascii="Times New Roman" w:hAnsi="Times New Roman"/>
              <w:bCs/>
              <w:sz w:val="24"/>
              <w:szCs w:val="24"/>
              <w:lang w:val="en-US" w:eastAsia="ru-RU"/>
            </w:rPr>
            <w:t>Kazakhstan</w:t>
          </w:r>
        </w:smartTag>
        <w:r w:rsidRPr="00EF6AFD">
          <w:rPr>
            <w:rFonts w:ascii="Times New Roman" w:hAnsi="Times New Roman"/>
            <w:bCs/>
            <w:sz w:val="24"/>
            <w:szCs w:val="24"/>
            <w:lang w:val="en-US" w:eastAsia="ru-RU"/>
          </w:rPr>
          <w:t xml:space="preserve"> </w:t>
        </w:r>
        <w:smartTag w:uri="urn:schemas-microsoft-com:office:smarttags" w:element="PlaceName">
          <w:r w:rsidRPr="00EF6AFD">
            <w:rPr>
              <w:rFonts w:ascii="Times New Roman" w:hAnsi="Times New Roman"/>
              <w:bCs/>
              <w:sz w:val="24"/>
              <w:szCs w:val="24"/>
              <w:lang w:val="en-US" w:eastAsia="ru-RU"/>
            </w:rPr>
            <w:t>Research</w:t>
          </w:r>
        </w:smartTag>
        <w:r w:rsidRPr="00EF6AFD">
          <w:rPr>
            <w:rFonts w:ascii="Times New Roman" w:hAnsi="Times New Roman"/>
            <w:bCs/>
            <w:sz w:val="24"/>
            <w:szCs w:val="24"/>
            <w:lang w:val="en-US" w:eastAsia="ru-RU"/>
          </w:rPr>
          <w:t xml:space="preserve"> </w:t>
        </w:r>
        <w:smartTag w:uri="urn:schemas-microsoft-com:office:smarttags" w:element="PlaceType">
          <w:r w:rsidRPr="00EF6AFD">
            <w:rPr>
              <w:rFonts w:ascii="Times New Roman" w:hAnsi="Times New Roman"/>
              <w:bCs/>
              <w:sz w:val="24"/>
              <w:szCs w:val="24"/>
              <w:lang w:val="en-US" w:eastAsia="ru-RU"/>
            </w:rPr>
            <w:t>University</w:t>
          </w:r>
        </w:smartTag>
      </w:smartTag>
      <w:r w:rsidRPr="00EF6AFD">
        <w:rPr>
          <w:rFonts w:ascii="Times New Roman" w:hAnsi="Times New Roman"/>
          <w:bCs/>
          <w:sz w:val="24"/>
          <w:szCs w:val="24"/>
          <w:lang w:val="en-US" w:eastAsia="ru-RU"/>
        </w:rPr>
        <w:t xml:space="preserve"> named after M. Auezov</w:t>
      </w:r>
    </w:p>
    <w:p w:rsidR="00E03D9D" w:rsidRDefault="00E03D9D" w:rsidP="00AD514C">
      <w:pPr>
        <w:pStyle w:val="NoSpacing"/>
        <w:jc w:val="right"/>
        <w:rPr>
          <w:rFonts w:ascii="Times New Roman" w:hAnsi="Times New Roman"/>
          <w:bCs/>
          <w:sz w:val="24"/>
          <w:szCs w:val="24"/>
          <w:lang w:val="en-US" w:eastAsia="ru-RU"/>
        </w:rPr>
      </w:pPr>
      <w:bookmarkStart w:id="0" w:name="_GoBack"/>
      <w:bookmarkEnd w:id="0"/>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Zhanel</w:t>
      </w:r>
      <w:r w:rsidRPr="00AD514C">
        <w:rPr>
          <w:rFonts w:ascii="Times New Roman" w:hAnsi="Times New Roman"/>
          <w:bCs/>
          <w:sz w:val="24"/>
          <w:szCs w:val="24"/>
          <w:lang w:val="en-US" w:eastAsia="ru-RU"/>
        </w:rPr>
        <w:t xml:space="preserve"> </w:t>
      </w:r>
      <w:r w:rsidRPr="00496A61">
        <w:rPr>
          <w:rFonts w:ascii="Times New Roman" w:hAnsi="Times New Roman"/>
          <w:bCs/>
          <w:sz w:val="24"/>
          <w:szCs w:val="24"/>
          <w:lang w:val="en-US" w:eastAsia="ru-RU"/>
        </w:rPr>
        <w:t>Mangazina</w:t>
      </w:r>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 xml:space="preserve">Kazakh National Women's </w:t>
      </w:r>
      <w:smartTag w:uri="urn:schemas-microsoft-com:office:smarttags" w:element="place">
        <w:smartTag w:uri="urn:schemas-microsoft-com:office:smarttags" w:element="PlaceName">
          <w:r w:rsidRPr="00496A61">
            <w:rPr>
              <w:rFonts w:ascii="Times New Roman" w:hAnsi="Times New Roman"/>
              <w:bCs/>
              <w:sz w:val="24"/>
              <w:szCs w:val="24"/>
              <w:lang w:val="en-US" w:eastAsia="ru-RU"/>
            </w:rPr>
            <w:t>Teacher</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Training</w:t>
          </w:r>
        </w:smartTag>
        <w:r w:rsidRPr="00496A61">
          <w:rPr>
            <w:rFonts w:ascii="Times New Roman" w:hAnsi="Times New Roman"/>
            <w:bCs/>
            <w:sz w:val="24"/>
            <w:szCs w:val="24"/>
            <w:lang w:val="en-US" w:eastAsia="ru-RU"/>
          </w:rPr>
          <w:t xml:space="preserve"> </w:t>
        </w:r>
        <w:smartTag w:uri="urn:schemas-microsoft-com:office:smarttags" w:element="PlaceType">
          <w:r w:rsidRPr="00496A61">
            <w:rPr>
              <w:rFonts w:ascii="Times New Roman" w:hAnsi="Times New Roman"/>
              <w:bCs/>
              <w:sz w:val="24"/>
              <w:szCs w:val="24"/>
              <w:lang w:val="en-US" w:eastAsia="ru-RU"/>
            </w:rPr>
            <w:t>University</w:t>
          </w:r>
        </w:smartTag>
      </w:smartTag>
    </w:p>
    <w:p w:rsidR="00E03D9D" w:rsidRDefault="00E03D9D" w:rsidP="00AD514C">
      <w:pPr>
        <w:pStyle w:val="NoSpacing"/>
        <w:jc w:val="right"/>
        <w:rPr>
          <w:rFonts w:ascii="Times New Roman" w:hAnsi="Times New Roman"/>
          <w:bCs/>
          <w:sz w:val="24"/>
          <w:szCs w:val="24"/>
          <w:lang w:val="en-US" w:eastAsia="ru-RU"/>
        </w:rPr>
      </w:pPr>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Zhanar</w:t>
      </w:r>
      <w:r w:rsidRPr="00AD514C">
        <w:rPr>
          <w:rFonts w:ascii="Times New Roman" w:hAnsi="Times New Roman"/>
          <w:bCs/>
          <w:sz w:val="24"/>
          <w:szCs w:val="24"/>
          <w:lang w:val="en-US" w:eastAsia="ru-RU"/>
        </w:rPr>
        <w:t xml:space="preserve"> </w:t>
      </w:r>
      <w:r w:rsidRPr="00496A61">
        <w:rPr>
          <w:rFonts w:ascii="Times New Roman" w:hAnsi="Times New Roman"/>
          <w:bCs/>
          <w:sz w:val="24"/>
          <w:szCs w:val="24"/>
          <w:lang w:val="en-US" w:eastAsia="ru-RU"/>
        </w:rPr>
        <w:t>Zhardamaliyeva</w:t>
      </w:r>
    </w:p>
    <w:p w:rsidR="00E03D9D" w:rsidRPr="00496A61" w:rsidRDefault="00E03D9D" w:rsidP="00AD514C">
      <w:pPr>
        <w:pStyle w:val="NoSpacing"/>
        <w:jc w:val="right"/>
        <w:rPr>
          <w:rFonts w:ascii="Times New Roman" w:hAnsi="Times New Roman"/>
          <w:bCs/>
          <w:sz w:val="24"/>
          <w:szCs w:val="24"/>
          <w:lang w:val="en-US" w:eastAsia="ru-RU"/>
        </w:rPr>
      </w:pPr>
      <w:smartTag w:uri="urn:schemas-microsoft-com:office:smarttags" w:element="place">
        <w:smartTag w:uri="urn:schemas-microsoft-com:office:smarttags" w:element="PlaceName">
          <w:r w:rsidRPr="00496A61">
            <w:rPr>
              <w:rFonts w:ascii="Times New Roman" w:hAnsi="Times New Roman"/>
              <w:bCs/>
              <w:sz w:val="24"/>
              <w:szCs w:val="24"/>
              <w:lang w:val="en-US" w:eastAsia="ru-RU"/>
            </w:rPr>
            <w:t>Kazakh</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National</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Research</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Technical</w:t>
          </w:r>
        </w:smartTag>
        <w:r w:rsidRPr="00496A61">
          <w:rPr>
            <w:rFonts w:ascii="Times New Roman" w:hAnsi="Times New Roman"/>
            <w:bCs/>
            <w:sz w:val="24"/>
            <w:szCs w:val="24"/>
            <w:lang w:val="en-US" w:eastAsia="ru-RU"/>
          </w:rPr>
          <w:t xml:space="preserve"> </w:t>
        </w:r>
        <w:smartTag w:uri="urn:schemas-microsoft-com:office:smarttags" w:element="PlaceType">
          <w:r w:rsidRPr="00496A61">
            <w:rPr>
              <w:rFonts w:ascii="Times New Roman" w:hAnsi="Times New Roman"/>
              <w:bCs/>
              <w:sz w:val="24"/>
              <w:szCs w:val="24"/>
              <w:lang w:val="en-US" w:eastAsia="ru-RU"/>
            </w:rPr>
            <w:t>University</w:t>
          </w:r>
        </w:smartTag>
      </w:smartTag>
      <w:r w:rsidRPr="00496A61">
        <w:rPr>
          <w:rFonts w:ascii="Times New Roman" w:hAnsi="Times New Roman"/>
          <w:bCs/>
          <w:sz w:val="24"/>
          <w:szCs w:val="24"/>
          <w:lang w:val="en-US" w:eastAsia="ru-RU"/>
        </w:rPr>
        <w:t xml:space="preserve"> named after K.I. Satpayev</w:t>
      </w:r>
    </w:p>
    <w:p w:rsidR="00E03D9D" w:rsidRDefault="00E03D9D" w:rsidP="00AD514C">
      <w:pPr>
        <w:pStyle w:val="NoSpacing"/>
        <w:jc w:val="right"/>
        <w:rPr>
          <w:rFonts w:ascii="Times New Roman" w:hAnsi="Times New Roman"/>
          <w:bCs/>
          <w:sz w:val="24"/>
          <w:szCs w:val="24"/>
          <w:lang w:val="en-US" w:eastAsia="ru-RU"/>
        </w:rPr>
      </w:pPr>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Assiya</w:t>
      </w:r>
      <w:r w:rsidRPr="00AD514C">
        <w:rPr>
          <w:rFonts w:ascii="Times New Roman" w:hAnsi="Times New Roman"/>
          <w:bCs/>
          <w:sz w:val="24"/>
          <w:szCs w:val="24"/>
          <w:lang w:val="en-US" w:eastAsia="ru-RU"/>
        </w:rPr>
        <w:t xml:space="preserve"> </w:t>
      </w:r>
      <w:r w:rsidRPr="00496A61">
        <w:rPr>
          <w:rFonts w:ascii="Times New Roman" w:hAnsi="Times New Roman"/>
          <w:bCs/>
          <w:sz w:val="24"/>
          <w:szCs w:val="24"/>
          <w:lang w:val="en-US" w:eastAsia="ru-RU"/>
        </w:rPr>
        <w:t>Bimurzina</w:t>
      </w:r>
    </w:p>
    <w:p w:rsidR="00E03D9D"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 xml:space="preserve">M. </w:t>
      </w:r>
      <w:smartTag w:uri="urn:schemas-microsoft-com:office:smarttags" w:element="place">
        <w:smartTag w:uri="urn:schemas-microsoft-com:office:smarttags" w:element="PlaceName">
          <w:r w:rsidRPr="00496A61">
            <w:rPr>
              <w:rFonts w:ascii="Times New Roman" w:hAnsi="Times New Roman"/>
              <w:bCs/>
              <w:sz w:val="24"/>
              <w:szCs w:val="24"/>
              <w:lang w:val="en-US" w:eastAsia="ru-RU"/>
            </w:rPr>
            <w:t>Auezov</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South</w:t>
          </w:r>
        </w:smartTag>
        <w:r w:rsidRPr="00496A61">
          <w:rPr>
            <w:rFonts w:ascii="Times New Roman" w:hAnsi="Times New Roman"/>
            <w:bCs/>
            <w:sz w:val="24"/>
            <w:szCs w:val="24"/>
            <w:lang w:val="en-US" w:eastAsia="ru-RU"/>
          </w:rPr>
          <w:t xml:space="preserve"> </w:t>
        </w:r>
        <w:smartTag w:uri="urn:schemas-microsoft-com:office:smarttags" w:element="PlaceName">
          <w:r w:rsidRPr="00496A61">
            <w:rPr>
              <w:rFonts w:ascii="Times New Roman" w:hAnsi="Times New Roman"/>
              <w:bCs/>
              <w:sz w:val="24"/>
              <w:szCs w:val="24"/>
              <w:lang w:val="en-US" w:eastAsia="ru-RU"/>
            </w:rPr>
            <w:t>Kazakhstan</w:t>
          </w:r>
        </w:smartTag>
        <w:r w:rsidRPr="00496A61">
          <w:rPr>
            <w:rFonts w:ascii="Times New Roman" w:hAnsi="Times New Roman"/>
            <w:bCs/>
            <w:sz w:val="24"/>
            <w:szCs w:val="24"/>
            <w:lang w:val="en-US" w:eastAsia="ru-RU"/>
          </w:rPr>
          <w:t xml:space="preserve"> </w:t>
        </w:r>
        <w:smartTag w:uri="urn:schemas-microsoft-com:office:smarttags" w:element="PlaceType">
          <w:r w:rsidRPr="00496A61">
            <w:rPr>
              <w:rFonts w:ascii="Times New Roman" w:hAnsi="Times New Roman"/>
              <w:bCs/>
              <w:sz w:val="24"/>
              <w:szCs w:val="24"/>
              <w:lang w:val="en-US" w:eastAsia="ru-RU"/>
            </w:rPr>
            <w:t>University</w:t>
          </w:r>
        </w:smartTag>
      </w:smartTag>
    </w:p>
    <w:p w:rsidR="00E03D9D" w:rsidRDefault="00E03D9D" w:rsidP="00AD514C">
      <w:pPr>
        <w:pStyle w:val="NoSpacing"/>
        <w:jc w:val="right"/>
        <w:rPr>
          <w:rFonts w:ascii="Times New Roman" w:hAnsi="Times New Roman"/>
          <w:bCs/>
          <w:sz w:val="24"/>
          <w:szCs w:val="24"/>
          <w:lang w:val="en-US" w:eastAsia="ru-RU"/>
        </w:rPr>
      </w:pPr>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Aliya</w:t>
      </w:r>
      <w:r w:rsidRPr="00AD514C">
        <w:rPr>
          <w:rFonts w:ascii="Times New Roman" w:hAnsi="Times New Roman"/>
          <w:bCs/>
          <w:sz w:val="24"/>
          <w:szCs w:val="24"/>
          <w:lang w:val="en-US" w:eastAsia="ru-RU"/>
        </w:rPr>
        <w:t xml:space="preserve"> </w:t>
      </w:r>
      <w:r w:rsidRPr="00496A61">
        <w:rPr>
          <w:rFonts w:ascii="Times New Roman" w:hAnsi="Times New Roman"/>
          <w:bCs/>
          <w:sz w:val="24"/>
          <w:szCs w:val="24"/>
          <w:lang w:val="en-US" w:eastAsia="ru-RU"/>
        </w:rPr>
        <w:t>Zhakupova</w:t>
      </w:r>
    </w:p>
    <w:p w:rsidR="00E03D9D" w:rsidRPr="00496A61" w:rsidRDefault="00E03D9D" w:rsidP="00AD514C">
      <w:pPr>
        <w:pStyle w:val="NoSpacing"/>
        <w:jc w:val="right"/>
        <w:rPr>
          <w:rFonts w:ascii="Times New Roman" w:hAnsi="Times New Roman"/>
          <w:bCs/>
          <w:sz w:val="24"/>
          <w:szCs w:val="24"/>
          <w:lang w:val="en-US" w:eastAsia="ru-RU"/>
        </w:rPr>
      </w:pPr>
      <w:r w:rsidRPr="00496A61">
        <w:rPr>
          <w:rFonts w:ascii="Times New Roman" w:hAnsi="Times New Roman"/>
          <w:bCs/>
          <w:sz w:val="24"/>
          <w:szCs w:val="24"/>
          <w:lang w:val="en-US" w:eastAsia="ru-RU"/>
        </w:rPr>
        <w:t>International Educational Corporation</w:t>
      </w:r>
    </w:p>
    <w:p w:rsidR="00E03D9D" w:rsidRPr="00496A61" w:rsidRDefault="00E03D9D" w:rsidP="00AD514C">
      <w:pPr>
        <w:pStyle w:val="NoSpacing"/>
        <w:jc w:val="center"/>
        <w:rPr>
          <w:rFonts w:ascii="Times New Roman" w:hAnsi="Times New Roman"/>
          <w:bCs/>
          <w:sz w:val="24"/>
          <w:szCs w:val="24"/>
          <w:lang w:val="en-US" w:eastAsia="ru-RU"/>
        </w:rPr>
      </w:pPr>
    </w:p>
    <w:p w:rsidR="00E03D9D" w:rsidRDefault="00E03D9D" w:rsidP="0054557A">
      <w:pPr>
        <w:pStyle w:val="NoSpacing"/>
        <w:jc w:val="center"/>
        <w:rPr>
          <w:rFonts w:ascii="Times New Roman" w:hAnsi="Times New Roman"/>
          <w:b/>
          <w:sz w:val="28"/>
          <w:szCs w:val="28"/>
          <w:lang w:val="en-US"/>
        </w:rPr>
      </w:pPr>
      <w:r w:rsidRPr="0054557A">
        <w:rPr>
          <w:rFonts w:ascii="Times New Roman" w:hAnsi="Times New Roman"/>
          <w:b/>
          <w:sz w:val="28"/>
          <w:szCs w:val="28"/>
          <w:lang w:val="en-US"/>
        </w:rPr>
        <w:t>INNOVATIVE APPROACHES TO TEACHING LANGUAGE DISCIPLINES IN HIGHER EDUCATION</w:t>
      </w:r>
    </w:p>
    <w:p w:rsidR="00E03D9D" w:rsidRPr="0054557A" w:rsidRDefault="00E03D9D" w:rsidP="0054557A">
      <w:pPr>
        <w:pStyle w:val="NoSpacing"/>
        <w:jc w:val="center"/>
        <w:rPr>
          <w:rFonts w:ascii="Times New Roman" w:hAnsi="Times New Roman"/>
          <w:b/>
          <w:bCs/>
          <w:sz w:val="28"/>
          <w:szCs w:val="28"/>
          <w:lang w:val="en-US" w:eastAsia="ru-RU"/>
        </w:rPr>
      </w:pP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Introduction</w:t>
      </w:r>
    </w:p>
    <w:p w:rsidR="00E03D9D" w:rsidRPr="0054557A" w:rsidRDefault="00E03D9D" w:rsidP="00146A5E">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In the context of rapid transformations in the global educational landscape and increasing integration into the international academic environment, the teaching of foreign languages in higher education institutions has acquired new strategic importance. A foreign language is no longer merely a subject required for passing exams or fulfilling curriculum requirements; it has become a vital tool for professional communication, intercultural interaction, and the personal development of future specialists. Modern challenges associated with digitalization, technological advancements, and changing labor market demands compel higher education to reconsider traditional methodological foundations and seek new, innovative forms and approaches to teaching.</w:t>
      </w:r>
    </w:p>
    <w:p w:rsidR="00E03D9D" w:rsidRPr="0054557A" w:rsidRDefault="00E03D9D" w:rsidP="00146A5E">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Over the past decades, the academic community has actively debated the effectiveness of various pedagogical strategies in language education. Key trends in this discourse include the humanization of the learning process, the use of communicative and activity-based methods, the integration of information and communication technologies (ICT), the adoption of project-based learning, and the development of professionally oriented instruction through contextual and integrative models. However, despite the accumulated experience and growing number of publications on this topic, traditional teaching models that fail to adequately address students’ individual, cognitive, and professional needs still dominate in many universities.</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This study addresses the problem of systematizing and analyzing contemporary innovative approaches to teaching language disciplines in higher education. There is an evident need to develop methods that not only ensure high-quality language acquisition but also foster critical thinking, learner autonomy, research activity, and students' readiness for professional and social mobility.</w:t>
      </w:r>
    </w:p>
    <w:p w:rsidR="00E03D9D" w:rsidRPr="0054557A" w:rsidRDefault="00E03D9D" w:rsidP="00146A5E">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The purpose of this study is to examine and substantiate the effectiveness of modern innovative teaching methods in university-level language instruction, including blended learning, the use of ICT and virtual reality, project-based learning, and the case method. The study focuses on integrating these methods into the educational process while considering interdisciplinary and professional requirements. Both theoretical developments and practical results of implementation in Russian and international universities are analyzed.</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The relevance of the topic lies in the fact that training competent, adaptable, and interculturally aware professionals is impossible without high-quality language education based on modern approaches and technologies. The use of innovative teaching forms not only enhances student motivation but also creates a dynamic educational environment in which students can simultaneously develop linguistic, professional, and personal competencies. Thus, this research aims to address existing methodological gaps and offer a comprehensive vision for the modernization of language education in higher education.</w:t>
      </w:r>
    </w:p>
    <w:p w:rsidR="00E03D9D" w:rsidRDefault="00E03D9D" w:rsidP="0054557A">
      <w:pPr>
        <w:pStyle w:val="NoSpacing"/>
        <w:jc w:val="both"/>
        <w:rPr>
          <w:rStyle w:val="Strong"/>
          <w:rFonts w:ascii="Times New Roman" w:hAnsi="Times New Roman"/>
          <w:sz w:val="24"/>
          <w:szCs w:val="24"/>
          <w:lang w:val="en-US"/>
        </w:rPr>
      </w:pPr>
    </w:p>
    <w:p w:rsidR="00E03D9D" w:rsidRPr="0054557A" w:rsidRDefault="00E03D9D" w:rsidP="0054557A">
      <w:pPr>
        <w:pStyle w:val="NoSpacing"/>
        <w:jc w:val="both"/>
        <w:rPr>
          <w:rFonts w:ascii="Times New Roman" w:hAnsi="Times New Roman"/>
          <w:sz w:val="24"/>
          <w:szCs w:val="24"/>
          <w:lang w:val="en-US"/>
        </w:rPr>
      </w:pPr>
      <w:r w:rsidRPr="0054557A">
        <w:rPr>
          <w:rStyle w:val="Strong"/>
          <w:rFonts w:ascii="Times New Roman" w:hAnsi="Times New Roman"/>
          <w:sz w:val="24"/>
          <w:szCs w:val="24"/>
          <w:lang w:val="en-US"/>
        </w:rPr>
        <w:t>Research Methods</w:t>
      </w:r>
    </w:p>
    <w:p w:rsidR="00E03D9D" w:rsidRPr="0054557A" w:rsidRDefault="00E03D9D" w:rsidP="00146A5E">
      <w:pPr>
        <w:pStyle w:val="NoSpacing"/>
        <w:ind w:firstLine="708"/>
        <w:jc w:val="both"/>
        <w:rPr>
          <w:rFonts w:ascii="Times New Roman" w:hAnsi="Times New Roman"/>
          <w:sz w:val="24"/>
          <w:szCs w:val="24"/>
          <w:lang w:val="en-US"/>
        </w:rPr>
      </w:pPr>
      <w:r w:rsidRPr="0054557A">
        <w:rPr>
          <w:rFonts w:ascii="Times New Roman" w:hAnsi="Times New Roman"/>
          <w:sz w:val="24"/>
          <w:szCs w:val="24"/>
          <w:lang w:val="en-US"/>
        </w:rPr>
        <w:t>This study is based on a qualitative research approach, as it aims to interpret pedagogical phenomena and examine existing practices in foreign language teaching to assess their effectiveness. The main stages and tools of the research are presented below:</w:t>
      </w:r>
    </w:p>
    <w:p w:rsidR="00E03D9D" w:rsidRPr="0054557A" w:rsidRDefault="00E03D9D" w:rsidP="00011F86">
      <w:pPr>
        <w:pStyle w:val="NoSpacing"/>
        <w:ind w:firstLine="708"/>
        <w:jc w:val="both"/>
        <w:rPr>
          <w:rFonts w:ascii="Times New Roman" w:hAnsi="Times New Roman"/>
          <w:sz w:val="24"/>
          <w:szCs w:val="24"/>
          <w:lang w:val="en-US"/>
        </w:rPr>
      </w:pPr>
      <w:r w:rsidRPr="0054557A">
        <w:rPr>
          <w:rStyle w:val="Strong"/>
          <w:rFonts w:ascii="Times New Roman" w:hAnsi="Times New Roman"/>
          <w:sz w:val="24"/>
          <w:szCs w:val="24"/>
          <w:lang w:val="en-US"/>
        </w:rPr>
        <w:t>Content Analysis of Sources</w:t>
      </w:r>
      <w:r w:rsidRPr="00011F86">
        <w:rPr>
          <w:rStyle w:val="Strong"/>
          <w:rFonts w:ascii="Times New Roman" w:hAnsi="Times New Roman"/>
          <w:sz w:val="24"/>
          <w:szCs w:val="24"/>
          <w:lang w:val="en-US"/>
        </w:rPr>
        <w:t xml:space="preserve">. </w:t>
      </w:r>
      <w:r w:rsidRPr="0054557A">
        <w:rPr>
          <w:rFonts w:ascii="Times New Roman" w:hAnsi="Times New Roman"/>
          <w:sz w:val="24"/>
          <w:szCs w:val="24"/>
          <w:lang w:val="en-US"/>
        </w:rPr>
        <w:t>A systematic review was conducted on publications related to the use of innovative technologies in language teaching at the university level.</w:t>
      </w:r>
    </w:p>
    <w:p w:rsidR="00E03D9D" w:rsidRPr="0054557A" w:rsidRDefault="00E03D9D" w:rsidP="00011F86">
      <w:pPr>
        <w:pStyle w:val="NoSpacing"/>
        <w:ind w:firstLine="708"/>
        <w:jc w:val="both"/>
        <w:rPr>
          <w:rFonts w:ascii="Times New Roman" w:hAnsi="Times New Roman"/>
          <w:sz w:val="24"/>
          <w:szCs w:val="24"/>
          <w:lang w:val="en-US"/>
        </w:rPr>
      </w:pPr>
      <w:r w:rsidRPr="0054557A">
        <w:rPr>
          <w:rStyle w:val="Strong"/>
          <w:rFonts w:ascii="Times New Roman" w:hAnsi="Times New Roman"/>
          <w:sz w:val="24"/>
          <w:szCs w:val="24"/>
          <w:lang w:val="en-US"/>
        </w:rPr>
        <w:t>Comparative Analysis</w:t>
      </w:r>
      <w:r w:rsidRPr="00011F86">
        <w:rPr>
          <w:rStyle w:val="Strong"/>
          <w:rFonts w:ascii="Times New Roman" w:hAnsi="Times New Roman"/>
          <w:sz w:val="24"/>
          <w:szCs w:val="24"/>
          <w:lang w:val="en-US"/>
        </w:rPr>
        <w:t xml:space="preserve">. </w:t>
      </w:r>
      <w:r w:rsidRPr="0054557A">
        <w:rPr>
          <w:rFonts w:ascii="Times New Roman" w:hAnsi="Times New Roman"/>
          <w:sz w:val="24"/>
          <w:szCs w:val="24"/>
          <w:lang w:val="en-US"/>
        </w:rPr>
        <w:t>Traditional and innovative teaching formats were compared across several parameters: student motivation levels, academic performance, development of speaking skills, engagement in the learning process, and the formation of intercultural and professional competencies. Data from open empirical studies were utilized, including evaluations of blended learning models, participation in online projects, and the use of VR technologies (e.g., a 30% increase in vocabulary acquisition and a 38% improvement in grammatical skills).</w:t>
      </w:r>
    </w:p>
    <w:p w:rsidR="00E03D9D" w:rsidRPr="0054557A" w:rsidRDefault="00E03D9D" w:rsidP="00011F86">
      <w:pPr>
        <w:pStyle w:val="NoSpacing"/>
        <w:ind w:firstLine="708"/>
        <w:jc w:val="both"/>
        <w:rPr>
          <w:rFonts w:ascii="Times New Roman" w:hAnsi="Times New Roman"/>
          <w:sz w:val="24"/>
          <w:szCs w:val="24"/>
          <w:lang w:val="en-US"/>
        </w:rPr>
      </w:pPr>
      <w:r w:rsidRPr="0054557A">
        <w:rPr>
          <w:rStyle w:val="Strong"/>
          <w:rFonts w:ascii="Times New Roman" w:hAnsi="Times New Roman"/>
          <w:sz w:val="24"/>
          <w:szCs w:val="24"/>
          <w:lang w:val="en-US"/>
        </w:rPr>
        <w:t>Analysis of Experimental Data from Literature</w:t>
      </w:r>
      <w:r w:rsidRPr="00011F86">
        <w:rPr>
          <w:rStyle w:val="Strong"/>
          <w:rFonts w:ascii="Times New Roman" w:hAnsi="Times New Roman"/>
          <w:sz w:val="24"/>
          <w:szCs w:val="24"/>
          <w:lang w:val="en-US"/>
        </w:rPr>
        <w:t xml:space="preserve">. </w:t>
      </w:r>
      <w:r w:rsidRPr="0054557A">
        <w:rPr>
          <w:rFonts w:ascii="Times New Roman" w:hAnsi="Times New Roman"/>
          <w:sz w:val="24"/>
          <w:szCs w:val="24"/>
          <w:lang w:val="en-US"/>
        </w:rPr>
        <w:t>Empirical data from the implementation of language programs in Russian universities during 2020–2023 were examined to evaluate the impact of methods such as virtual reality, the case method, and blended learning. For example, survey data showed that 83% of students reported increased interest in language learning when VR was used, and 87% noted increased motivation.</w:t>
      </w:r>
    </w:p>
    <w:p w:rsidR="00E03D9D" w:rsidRPr="0054557A" w:rsidRDefault="00E03D9D" w:rsidP="00011F86">
      <w:pPr>
        <w:pStyle w:val="NoSpacing"/>
        <w:ind w:firstLine="708"/>
        <w:jc w:val="both"/>
        <w:rPr>
          <w:rFonts w:ascii="Times New Roman" w:hAnsi="Times New Roman"/>
          <w:sz w:val="24"/>
          <w:szCs w:val="24"/>
          <w:lang w:val="en-US"/>
        </w:rPr>
      </w:pPr>
      <w:r w:rsidRPr="0054557A">
        <w:rPr>
          <w:rStyle w:val="Strong"/>
          <w:rFonts w:ascii="Times New Roman" w:hAnsi="Times New Roman"/>
          <w:sz w:val="24"/>
          <w:szCs w:val="24"/>
          <w:lang w:val="en-US"/>
        </w:rPr>
        <w:t>Pedagogical Modeling Method</w:t>
      </w:r>
      <w:r w:rsidRPr="00011F86">
        <w:rPr>
          <w:rStyle w:val="Strong"/>
          <w:rFonts w:ascii="Times New Roman" w:hAnsi="Times New Roman"/>
          <w:sz w:val="24"/>
          <w:szCs w:val="24"/>
          <w:lang w:val="en-US"/>
        </w:rPr>
        <w:t xml:space="preserve">. </w:t>
      </w:r>
      <w:r w:rsidRPr="0054557A">
        <w:rPr>
          <w:rFonts w:ascii="Times New Roman" w:hAnsi="Times New Roman"/>
          <w:sz w:val="24"/>
          <w:szCs w:val="24"/>
          <w:lang w:val="en-US"/>
        </w:rPr>
        <w:t>Based on the collected data, a generalized model was proposed for integrating innovative methods into university-level language teaching. This model considers the professional focus of education, students’ individual characteristics, and labor market demands.</w:t>
      </w:r>
    </w:p>
    <w:p w:rsidR="00E03D9D" w:rsidRPr="0054557A" w:rsidRDefault="00E03D9D" w:rsidP="00011F86">
      <w:pPr>
        <w:pStyle w:val="NoSpacing"/>
        <w:ind w:firstLine="708"/>
        <w:jc w:val="both"/>
        <w:rPr>
          <w:rFonts w:ascii="Times New Roman" w:hAnsi="Times New Roman"/>
          <w:sz w:val="24"/>
          <w:szCs w:val="24"/>
          <w:lang w:val="en-US"/>
        </w:rPr>
      </w:pPr>
      <w:r w:rsidRPr="0054557A">
        <w:rPr>
          <w:rStyle w:val="Strong"/>
          <w:rFonts w:ascii="Times New Roman" w:hAnsi="Times New Roman"/>
          <w:sz w:val="24"/>
          <w:szCs w:val="24"/>
          <w:lang w:val="en-US"/>
        </w:rPr>
        <w:t>Evaluation of Method Reproducibility</w:t>
      </w:r>
      <w:r w:rsidRPr="00011F86">
        <w:rPr>
          <w:rStyle w:val="Strong"/>
          <w:rFonts w:ascii="Times New Roman" w:hAnsi="Times New Roman"/>
          <w:sz w:val="24"/>
          <w:szCs w:val="24"/>
          <w:lang w:val="en-US"/>
        </w:rPr>
        <w:t xml:space="preserve">. </w:t>
      </w:r>
      <w:r w:rsidRPr="0054557A">
        <w:rPr>
          <w:rFonts w:ascii="Times New Roman" w:hAnsi="Times New Roman"/>
          <w:sz w:val="24"/>
          <w:szCs w:val="24"/>
          <w:lang w:val="en-US"/>
        </w:rPr>
        <w:t>The study considered the necessary conditions for successful implementation of these methods: availability of digital infrastructure, students’ language proficiency levels, and the instructor’s readiness to use flexible and interactive formats. This allows readers to reproduce the study or implement the proposed approaches in their own teaching practice.</w:t>
      </w:r>
    </w:p>
    <w:p w:rsidR="00E03D9D" w:rsidRPr="0054557A" w:rsidRDefault="00E03D9D" w:rsidP="00011F86">
      <w:pPr>
        <w:pStyle w:val="NoSpacing"/>
        <w:ind w:firstLine="708"/>
        <w:jc w:val="both"/>
        <w:rPr>
          <w:rFonts w:ascii="Times New Roman" w:hAnsi="Times New Roman"/>
          <w:sz w:val="24"/>
          <w:szCs w:val="24"/>
          <w:lang w:val="en-US"/>
        </w:rPr>
      </w:pPr>
      <w:r w:rsidRPr="0054557A">
        <w:rPr>
          <w:rFonts w:ascii="Times New Roman" w:hAnsi="Times New Roman"/>
          <w:sz w:val="24"/>
          <w:szCs w:val="24"/>
          <w:lang w:val="en-US"/>
        </w:rPr>
        <w:t>Thus, the methods employed provided a comprehensive assessment of the potential of modern pedagogical technologies aimed at improving language education in higher education institutions and enhancing its effectiveness in a globalized world.</w:t>
      </w:r>
    </w:p>
    <w:p w:rsidR="00E03D9D" w:rsidRPr="0054557A" w:rsidRDefault="00E03D9D" w:rsidP="0054557A">
      <w:pPr>
        <w:pStyle w:val="NoSpacing"/>
        <w:jc w:val="both"/>
        <w:rPr>
          <w:rFonts w:ascii="Times New Roman" w:hAnsi="Times New Roman"/>
          <w:sz w:val="24"/>
          <w:szCs w:val="24"/>
          <w:lang w:val="en-US"/>
        </w:rPr>
      </w:pP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Research Results</w:t>
      </w:r>
    </w:p>
    <w:p w:rsidR="00E03D9D" w:rsidRPr="0054557A" w:rsidRDefault="00E03D9D" w:rsidP="00011F86">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Based on the conducted content analysis, comparative evaluation, and empirical review of innovative approaches to teaching language disciplines in higher education institutions, the following results were obtained:</w:t>
      </w:r>
    </w:p>
    <w:p w:rsidR="00E03D9D" w:rsidRPr="0054557A" w:rsidRDefault="00E03D9D" w:rsidP="00011F86">
      <w:pPr>
        <w:pStyle w:val="NoSpacing"/>
        <w:rPr>
          <w:rFonts w:ascii="Times New Roman" w:hAnsi="Times New Roman"/>
          <w:sz w:val="24"/>
          <w:szCs w:val="24"/>
          <w:lang w:val="en-US" w:eastAsia="ru-RU"/>
        </w:rPr>
      </w:pPr>
      <w:r w:rsidRPr="00011F86">
        <w:rPr>
          <w:rFonts w:ascii="Times New Roman" w:hAnsi="Times New Roman"/>
          <w:bCs/>
          <w:sz w:val="24"/>
          <w:szCs w:val="24"/>
          <w:lang w:val="en-US" w:eastAsia="ru-RU"/>
        </w:rPr>
        <w:t>Frequency of Mention and Implementation of Methods</w:t>
      </w:r>
      <w:r w:rsidRPr="00011F86">
        <w:rPr>
          <w:rFonts w:ascii="Times New Roman" w:hAnsi="Times New Roman"/>
          <w:sz w:val="24"/>
          <w:szCs w:val="24"/>
          <w:lang w:val="en-US" w:eastAsia="ru-RU"/>
        </w:rPr>
        <w:br/>
        <w:t>Among the analyzed sources (n = 25), the most frequently reported and implemented innovative teaching methods were:</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Blended learning</w:t>
      </w:r>
      <w:r w:rsidRPr="00011F86">
        <w:rPr>
          <w:rFonts w:ascii="Times New Roman" w:hAnsi="Times New Roman"/>
          <w:sz w:val="24"/>
          <w:szCs w:val="24"/>
          <w:lang w:val="en-US" w:eastAsia="ru-RU"/>
        </w:rPr>
        <w:t xml:space="preserve"> – mentioned in 92% of sources;</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ICT tools and digital platforms</w:t>
      </w:r>
      <w:r w:rsidRPr="00011F86">
        <w:rPr>
          <w:rFonts w:ascii="Times New Roman" w:hAnsi="Times New Roman"/>
          <w:sz w:val="24"/>
          <w:szCs w:val="24"/>
          <w:lang w:val="en-US" w:eastAsia="ru-RU"/>
        </w:rPr>
        <w:t xml:space="preserve"> (Kahoot, Quizlet, Moodle) – 88%;</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Project-based learning with an intercultural component</w:t>
      </w:r>
      <w:r w:rsidRPr="00011F86">
        <w:rPr>
          <w:rFonts w:ascii="Times New Roman" w:hAnsi="Times New Roman"/>
          <w:sz w:val="24"/>
          <w:szCs w:val="24"/>
          <w:lang w:val="en-US" w:eastAsia="ru-RU"/>
        </w:rPr>
        <w:t xml:space="preserve"> (e.g., iEARN, "Holiday Card Exchange") – 76%;</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Case method</w:t>
      </w:r>
      <w:r w:rsidRPr="00011F86">
        <w:rPr>
          <w:rFonts w:ascii="Times New Roman" w:hAnsi="Times New Roman"/>
          <w:sz w:val="24"/>
          <w:szCs w:val="24"/>
          <w:lang w:val="en-US" w:eastAsia="ru-RU"/>
        </w:rPr>
        <w:t xml:space="preserve"> – 64%;</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CLIL approach</w:t>
      </w:r>
      <w:r w:rsidRPr="00011F86">
        <w:rPr>
          <w:rFonts w:ascii="Times New Roman" w:hAnsi="Times New Roman"/>
          <w:sz w:val="24"/>
          <w:szCs w:val="24"/>
          <w:lang w:val="en-US" w:eastAsia="ru-RU"/>
        </w:rPr>
        <w:t xml:space="preserve"> (Content and Language Integrated Learning) – 52%;</w:t>
      </w:r>
      <w:r w:rsidRPr="00011F86">
        <w:rPr>
          <w:rFonts w:ascii="Times New Roman" w:hAnsi="Times New Roman"/>
          <w:sz w:val="24"/>
          <w:szCs w:val="24"/>
          <w:lang w:val="en-US" w:eastAsia="ru-RU"/>
        </w:rPr>
        <w:br/>
        <w:t xml:space="preserve">– </w:t>
      </w:r>
      <w:r w:rsidRPr="00011F86">
        <w:rPr>
          <w:rFonts w:ascii="Times New Roman" w:hAnsi="Times New Roman"/>
          <w:bCs/>
          <w:sz w:val="24"/>
          <w:szCs w:val="24"/>
          <w:lang w:val="en-US" w:eastAsia="ru-RU"/>
        </w:rPr>
        <w:t>Use of VR/AR technologies</w:t>
      </w:r>
      <w:r w:rsidRPr="00011F86">
        <w:rPr>
          <w:rFonts w:ascii="Times New Roman" w:hAnsi="Times New Roman"/>
          <w:sz w:val="24"/>
          <w:szCs w:val="24"/>
          <w:lang w:val="en-US" w:eastAsia="ru-RU"/>
        </w:rPr>
        <w:t xml:space="preserve"> – 40</w:t>
      </w:r>
      <w:r w:rsidRPr="0054557A">
        <w:rPr>
          <w:rFonts w:ascii="Times New Roman" w:hAnsi="Times New Roman"/>
          <w:sz w:val="24"/>
          <w:szCs w:val="24"/>
          <w:lang w:val="en-US" w:eastAsia="ru-RU"/>
        </w:rPr>
        <w:t>%.</w:t>
      </w:r>
    </w:p>
    <w:p w:rsidR="00E03D9D" w:rsidRDefault="00E03D9D" w:rsidP="00011F86">
      <w:pPr>
        <w:pStyle w:val="NoSpacing"/>
        <w:ind w:firstLine="708"/>
        <w:jc w:val="both"/>
        <w:rPr>
          <w:rFonts w:ascii="Times New Roman" w:hAnsi="Times New Roman"/>
          <w:sz w:val="24"/>
          <w:szCs w:val="24"/>
          <w:lang w:val="en-US"/>
        </w:rPr>
      </w:pPr>
      <w:r w:rsidRPr="00011F86">
        <w:rPr>
          <w:rFonts w:ascii="Times New Roman" w:hAnsi="Times New Roman"/>
          <w:b/>
          <w:sz w:val="24"/>
          <w:szCs w:val="24"/>
          <w:lang w:val="en-US"/>
        </w:rPr>
        <w:t>Table 1.</w:t>
      </w:r>
      <w:r w:rsidRPr="0054557A">
        <w:rPr>
          <w:rFonts w:ascii="Times New Roman" w:hAnsi="Times New Roman"/>
          <w:sz w:val="24"/>
          <w:szCs w:val="24"/>
          <w:lang w:val="en-US"/>
        </w:rPr>
        <w:t xml:space="preserve"> Impact of Innovative Methods on Student Academic Performance</w:t>
      </w:r>
    </w:p>
    <w:p w:rsidR="00E03D9D" w:rsidRPr="0054557A" w:rsidRDefault="00E03D9D" w:rsidP="00011F86">
      <w:pPr>
        <w:pStyle w:val="NoSpacing"/>
        <w:ind w:firstLine="708"/>
        <w:jc w:val="both"/>
        <w:rPr>
          <w:rFonts w:ascii="Times New Roman" w:hAnsi="Times New Roman"/>
          <w:sz w:val="24"/>
          <w:szCs w:val="24"/>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5"/>
        <w:gridCol w:w="2217"/>
        <w:gridCol w:w="2197"/>
        <w:gridCol w:w="2052"/>
      </w:tblGrid>
      <w:tr w:rsidR="00E03D9D" w:rsidRPr="00CB2C6C" w:rsidTr="00CB2C6C">
        <w:tc>
          <w:tcPr>
            <w:tcW w:w="2336" w:type="dxa"/>
          </w:tcPr>
          <w:p w:rsidR="00E03D9D" w:rsidRPr="00CB2C6C" w:rsidRDefault="00E03D9D" w:rsidP="00CB2C6C">
            <w:pPr>
              <w:pStyle w:val="NoSpacing"/>
              <w:jc w:val="both"/>
              <w:rPr>
                <w:rFonts w:ascii="Times New Roman" w:hAnsi="Times New Roman"/>
                <w:b/>
                <w:sz w:val="20"/>
                <w:szCs w:val="20"/>
                <w:lang w:val="en-US"/>
              </w:rPr>
            </w:pPr>
            <w:r w:rsidRPr="00CB2C6C">
              <w:rPr>
                <w:rFonts w:ascii="Times New Roman" w:hAnsi="Times New Roman"/>
                <w:b/>
                <w:sz w:val="20"/>
                <w:szCs w:val="20"/>
              </w:rPr>
              <w:t>Indicator</w:t>
            </w:r>
          </w:p>
        </w:tc>
        <w:tc>
          <w:tcPr>
            <w:tcW w:w="2336" w:type="dxa"/>
          </w:tcPr>
          <w:p w:rsidR="00E03D9D" w:rsidRPr="00CB2C6C" w:rsidRDefault="00E03D9D" w:rsidP="00CB2C6C">
            <w:pPr>
              <w:pStyle w:val="NoSpacing"/>
              <w:jc w:val="both"/>
              <w:rPr>
                <w:rFonts w:ascii="Times New Roman" w:hAnsi="Times New Roman"/>
                <w:b/>
                <w:sz w:val="20"/>
                <w:szCs w:val="20"/>
                <w:lang w:val="en-US"/>
              </w:rPr>
            </w:pPr>
            <w:r w:rsidRPr="00CB2C6C">
              <w:rPr>
                <w:rFonts w:ascii="Times New Roman" w:hAnsi="Times New Roman"/>
                <w:b/>
                <w:sz w:val="20"/>
                <w:szCs w:val="20"/>
              </w:rPr>
              <w:t>TraditionalMethods</w:t>
            </w:r>
          </w:p>
        </w:tc>
        <w:tc>
          <w:tcPr>
            <w:tcW w:w="2336" w:type="dxa"/>
          </w:tcPr>
          <w:p w:rsidR="00E03D9D" w:rsidRPr="00CB2C6C" w:rsidRDefault="00E03D9D" w:rsidP="00CB2C6C">
            <w:pPr>
              <w:pStyle w:val="NoSpacing"/>
              <w:jc w:val="both"/>
              <w:rPr>
                <w:rFonts w:ascii="Times New Roman" w:hAnsi="Times New Roman"/>
                <w:b/>
                <w:sz w:val="20"/>
                <w:szCs w:val="20"/>
                <w:lang w:val="en-US"/>
              </w:rPr>
            </w:pPr>
            <w:r w:rsidRPr="00CB2C6C">
              <w:rPr>
                <w:rFonts w:ascii="Times New Roman" w:hAnsi="Times New Roman"/>
                <w:b/>
                <w:sz w:val="20"/>
                <w:szCs w:val="20"/>
              </w:rPr>
              <w:t>InnovativeMethods</w:t>
            </w:r>
          </w:p>
        </w:tc>
        <w:tc>
          <w:tcPr>
            <w:tcW w:w="2337" w:type="dxa"/>
          </w:tcPr>
          <w:p w:rsidR="00E03D9D" w:rsidRPr="00CB2C6C" w:rsidRDefault="00E03D9D" w:rsidP="00CB2C6C">
            <w:pPr>
              <w:pStyle w:val="NoSpacing"/>
              <w:jc w:val="both"/>
              <w:rPr>
                <w:rFonts w:ascii="Times New Roman" w:hAnsi="Times New Roman"/>
                <w:b/>
                <w:sz w:val="20"/>
                <w:szCs w:val="20"/>
                <w:lang w:val="en-US"/>
              </w:rPr>
            </w:pPr>
            <w:r w:rsidRPr="00CB2C6C">
              <w:rPr>
                <w:rFonts w:ascii="Times New Roman" w:hAnsi="Times New Roman"/>
                <w:b/>
                <w:sz w:val="20"/>
                <w:szCs w:val="20"/>
              </w:rPr>
              <w:t>Improvement (%)</w:t>
            </w:r>
          </w:p>
        </w:tc>
      </w:tr>
      <w:tr w:rsidR="00E03D9D" w:rsidRPr="00CB2C6C" w:rsidTr="00CB2C6C">
        <w:tc>
          <w:tcPr>
            <w:tcW w:w="2336" w:type="dxa"/>
          </w:tcPr>
          <w:tbl>
            <w:tblPr>
              <w:tblW w:w="0" w:type="auto"/>
              <w:tblCellSpacing w:w="15" w:type="dxa"/>
              <w:tblCellMar>
                <w:top w:w="15" w:type="dxa"/>
                <w:left w:w="15" w:type="dxa"/>
                <w:bottom w:w="15" w:type="dxa"/>
                <w:right w:w="15" w:type="dxa"/>
              </w:tblCellMar>
              <w:tblLook w:val="00A0"/>
            </w:tblPr>
            <w:tblGrid>
              <w:gridCol w:w="1568"/>
            </w:tblGrid>
            <w:tr w:rsidR="00E03D9D" w:rsidRPr="00CB2C6C" w:rsidTr="007644E6">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Studentmotivation</w:t>
                  </w:r>
                </w:p>
              </w:tc>
            </w:tr>
          </w:tbl>
          <w:p w:rsidR="00E03D9D" w:rsidRPr="00CB2C6C" w:rsidRDefault="00E03D9D" w:rsidP="00CB2C6C">
            <w:pPr>
              <w:pStyle w:val="NoSpacing"/>
              <w:jc w:val="both"/>
              <w:rPr>
                <w:rFonts w:ascii="Times New Roman" w:hAnsi="Times New Roman"/>
                <w:vanish/>
                <w:sz w:val="20"/>
                <w:szCs w:val="20"/>
                <w:lang w:eastAsia="ru-RU"/>
              </w:rPr>
            </w:pPr>
          </w:p>
          <w:p w:rsidR="00E03D9D" w:rsidRPr="00CB2C6C" w:rsidRDefault="00E03D9D" w:rsidP="00CB2C6C">
            <w:pPr>
              <w:pStyle w:val="NoSpacing"/>
              <w:jc w:val="both"/>
              <w:rPr>
                <w:rFonts w:ascii="Times New Roman" w:hAnsi="Times New Roman"/>
                <w:vanish/>
                <w:sz w:val="20"/>
                <w:szCs w:val="20"/>
                <w:lang w:eastAsia="ru-RU"/>
              </w:rPr>
            </w:pPr>
          </w:p>
          <w:p w:rsidR="00E03D9D" w:rsidRPr="00CB2C6C" w:rsidRDefault="00E03D9D" w:rsidP="00CB2C6C">
            <w:pPr>
              <w:pStyle w:val="NoSpacing"/>
              <w:jc w:val="both"/>
              <w:rPr>
                <w:rFonts w:ascii="Times New Roman" w:hAnsi="Times New Roman"/>
                <w:vanish/>
                <w:sz w:val="20"/>
                <w:szCs w:val="20"/>
                <w:lang w:eastAsia="ru-RU"/>
              </w:rPr>
            </w:pPr>
          </w:p>
          <w:p w:rsidR="00E03D9D" w:rsidRPr="00CB2C6C" w:rsidRDefault="00E03D9D" w:rsidP="00CB2C6C">
            <w:pPr>
              <w:pStyle w:val="NoSpacing"/>
              <w:jc w:val="both"/>
              <w:rPr>
                <w:rFonts w:ascii="Times New Roman" w:hAnsi="Times New Roman"/>
                <w:sz w:val="20"/>
                <w:szCs w:val="20"/>
                <w:lang w:val="en-US"/>
              </w:rPr>
            </w:pPr>
          </w:p>
        </w:tc>
        <w:tc>
          <w:tcPr>
            <w:tcW w:w="2336" w:type="dxa"/>
          </w:tcPr>
          <w:p w:rsidR="00E03D9D" w:rsidRPr="00CB2C6C" w:rsidRDefault="00E03D9D" w:rsidP="00CB2C6C">
            <w:pPr>
              <w:pStyle w:val="NoSpacing"/>
              <w:jc w:val="both"/>
              <w:rPr>
                <w:rFonts w:ascii="Times New Roman" w:hAnsi="Times New Roman"/>
                <w:sz w:val="20"/>
                <w:szCs w:val="20"/>
              </w:rPr>
            </w:pPr>
            <w:r w:rsidRPr="00CB2C6C">
              <w:rPr>
                <w:rFonts w:ascii="Times New Roman" w:hAnsi="Times New Roman"/>
                <w:sz w:val="20"/>
                <w:szCs w:val="20"/>
              </w:rPr>
              <w:t>58%</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87%</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307426">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+29</w:t>
                  </w:r>
                </w:p>
              </w:tc>
            </w:tr>
          </w:tbl>
          <w:p w:rsidR="00E03D9D" w:rsidRPr="00CB2C6C" w:rsidRDefault="00E03D9D" w:rsidP="00CB2C6C">
            <w:pPr>
              <w:pStyle w:val="NoSpacing"/>
              <w:jc w:val="both"/>
              <w:rPr>
                <w:rFonts w:ascii="Times New Roman" w:hAnsi="Times New Roman"/>
                <w:sz w:val="20"/>
                <w:szCs w:val="20"/>
                <w:lang w:val="en-US"/>
              </w:rPr>
            </w:pPr>
          </w:p>
        </w:tc>
      </w:tr>
      <w:tr w:rsidR="00E03D9D" w:rsidRPr="00CB2C6C" w:rsidTr="00CB2C6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Learningengagement</w:t>
            </w:r>
          </w:p>
        </w:t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61%</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83%</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4D321F">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+22</w:t>
                  </w:r>
                </w:p>
              </w:tc>
            </w:tr>
          </w:tbl>
          <w:p w:rsidR="00E03D9D" w:rsidRPr="00CB2C6C" w:rsidRDefault="00E03D9D" w:rsidP="00CB2C6C">
            <w:pPr>
              <w:pStyle w:val="NoSpacing"/>
              <w:jc w:val="both"/>
              <w:rPr>
                <w:rFonts w:ascii="Times New Roman" w:hAnsi="Times New Roman"/>
                <w:sz w:val="20"/>
                <w:szCs w:val="20"/>
                <w:lang w:val="en-US"/>
              </w:rPr>
            </w:pPr>
          </w:p>
        </w:tc>
      </w:tr>
      <w:tr w:rsidR="00E03D9D" w:rsidRPr="00CB2C6C" w:rsidTr="00CB2C6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Masteryofgrammaticalstructures</w:t>
            </w:r>
          </w:p>
        </w:t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62%</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85%</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4D321F">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+23</w:t>
                  </w:r>
                </w:p>
              </w:tc>
            </w:tr>
          </w:tbl>
          <w:p w:rsidR="00E03D9D" w:rsidRPr="00CB2C6C" w:rsidRDefault="00E03D9D" w:rsidP="00CB2C6C">
            <w:pPr>
              <w:pStyle w:val="NoSpacing"/>
              <w:jc w:val="both"/>
              <w:rPr>
                <w:rFonts w:ascii="Times New Roman" w:hAnsi="Times New Roman"/>
                <w:sz w:val="20"/>
                <w:szCs w:val="20"/>
                <w:lang w:val="en-US"/>
              </w:rPr>
            </w:pPr>
          </w:p>
        </w:tc>
      </w:tr>
      <w:tr w:rsidR="00E03D9D" w:rsidRPr="00CB2C6C" w:rsidTr="00CB2C6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Vocabularydevelopment</w:t>
            </w:r>
          </w:p>
        </w:t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65%</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95%</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4D321F">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+30</w:t>
                  </w:r>
                </w:p>
              </w:tc>
            </w:tr>
          </w:tbl>
          <w:p w:rsidR="00E03D9D" w:rsidRPr="00CB2C6C" w:rsidRDefault="00E03D9D" w:rsidP="00CB2C6C">
            <w:pPr>
              <w:pStyle w:val="NoSpacing"/>
              <w:jc w:val="both"/>
              <w:rPr>
                <w:rFonts w:ascii="Times New Roman" w:hAnsi="Times New Roman"/>
                <w:sz w:val="20"/>
                <w:szCs w:val="20"/>
                <w:lang w:val="en-US"/>
              </w:rPr>
            </w:pPr>
          </w:p>
        </w:tc>
      </w:tr>
      <w:tr w:rsidR="00E03D9D" w:rsidRPr="00CB2C6C" w:rsidTr="00CB2C6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Oralcommunicationskills</w:t>
            </w:r>
          </w:p>
        </w:t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60%</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80%</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4D321F">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+20</w:t>
                  </w:r>
                </w:p>
              </w:tc>
            </w:tr>
          </w:tbl>
          <w:p w:rsidR="00E03D9D" w:rsidRPr="00CB2C6C" w:rsidRDefault="00E03D9D" w:rsidP="00CB2C6C">
            <w:pPr>
              <w:pStyle w:val="NoSpacing"/>
              <w:jc w:val="both"/>
              <w:rPr>
                <w:rFonts w:ascii="Times New Roman" w:hAnsi="Times New Roman"/>
                <w:sz w:val="20"/>
                <w:szCs w:val="20"/>
                <w:lang w:val="en-US"/>
              </w:rPr>
            </w:pPr>
          </w:p>
        </w:tc>
      </w:tr>
      <w:tr w:rsidR="00E03D9D" w:rsidRPr="00CB2C6C" w:rsidTr="00CB2C6C">
        <w:tc>
          <w:tcPr>
            <w:tcW w:w="2336" w:type="dxa"/>
          </w:tcPr>
          <w:p w:rsidR="00E03D9D" w:rsidRPr="00CB2C6C" w:rsidRDefault="00E03D9D" w:rsidP="00CB2C6C">
            <w:pPr>
              <w:pStyle w:val="NoSpacing"/>
              <w:jc w:val="both"/>
              <w:rPr>
                <w:rFonts w:ascii="Times New Roman" w:hAnsi="Times New Roman"/>
                <w:sz w:val="20"/>
                <w:szCs w:val="20"/>
              </w:rPr>
            </w:pPr>
            <w:r w:rsidRPr="00CB2C6C">
              <w:rPr>
                <w:rFonts w:ascii="Times New Roman" w:hAnsi="Times New Roman"/>
                <w:sz w:val="20"/>
                <w:szCs w:val="20"/>
              </w:rPr>
              <w:t>Confidenceinwrittencommunication</w:t>
            </w:r>
          </w:p>
        </w:tc>
        <w:tc>
          <w:tcPr>
            <w:tcW w:w="2336" w:type="dxa"/>
          </w:tcPr>
          <w:p w:rsidR="00E03D9D" w:rsidRPr="00CB2C6C" w:rsidRDefault="00E03D9D" w:rsidP="00CB2C6C">
            <w:pPr>
              <w:pStyle w:val="NoSpacing"/>
              <w:jc w:val="both"/>
              <w:rPr>
                <w:rFonts w:ascii="Times New Roman" w:hAnsi="Times New Roman"/>
                <w:sz w:val="20"/>
                <w:szCs w:val="20"/>
                <w:lang w:val="en-US"/>
              </w:rPr>
            </w:pPr>
            <w:r w:rsidRPr="00CB2C6C">
              <w:rPr>
                <w:rFonts w:ascii="Times New Roman" w:hAnsi="Times New Roman"/>
                <w:sz w:val="20"/>
                <w:szCs w:val="20"/>
              </w:rPr>
              <w:t>57%</w:t>
            </w:r>
          </w:p>
        </w:tc>
        <w:tc>
          <w:tcPr>
            <w:tcW w:w="2336" w:type="dxa"/>
          </w:tcPr>
          <w:p w:rsidR="00E03D9D" w:rsidRPr="00CB2C6C" w:rsidRDefault="00E03D9D" w:rsidP="00CB2C6C">
            <w:pPr>
              <w:pStyle w:val="NoSpacing"/>
              <w:jc w:val="both"/>
              <w:rPr>
                <w:rFonts w:ascii="Times New Roman" w:hAnsi="Times New Roman"/>
                <w:sz w:val="20"/>
                <w:szCs w:val="20"/>
                <w:lang w:eastAsia="ru-RU"/>
              </w:rPr>
            </w:pPr>
            <w:r w:rsidRPr="00CB2C6C">
              <w:rPr>
                <w:rFonts w:ascii="Times New Roman" w:hAnsi="Times New Roman"/>
                <w:sz w:val="20"/>
                <w:szCs w:val="20"/>
                <w:lang w:eastAsia="ru-RU"/>
              </w:rPr>
              <w:t>84%</w:t>
            </w:r>
          </w:p>
          <w:p w:rsidR="00E03D9D" w:rsidRPr="00CB2C6C" w:rsidRDefault="00E03D9D" w:rsidP="00CB2C6C">
            <w:pPr>
              <w:pStyle w:val="NoSpacing"/>
              <w:jc w:val="both"/>
              <w:rPr>
                <w:rFonts w:ascii="Times New Roman" w:hAnsi="Times New Roman"/>
                <w:sz w:val="20"/>
                <w:szCs w:val="20"/>
                <w:lang w:val="en-US"/>
              </w:rPr>
            </w:pPr>
          </w:p>
        </w:tc>
        <w:tc>
          <w:tcPr>
            <w:tcW w:w="2337" w:type="dxa"/>
          </w:tcPr>
          <w:tbl>
            <w:tblPr>
              <w:tblW w:w="0" w:type="auto"/>
              <w:tblCellSpacing w:w="15" w:type="dxa"/>
              <w:tblCellMar>
                <w:top w:w="15" w:type="dxa"/>
                <w:left w:w="15" w:type="dxa"/>
                <w:bottom w:w="15" w:type="dxa"/>
                <w:right w:w="15" w:type="dxa"/>
              </w:tblCellMar>
              <w:tblLook w:val="00A0"/>
            </w:tblPr>
            <w:tblGrid>
              <w:gridCol w:w="403"/>
            </w:tblGrid>
            <w:tr w:rsidR="00E03D9D" w:rsidRPr="00CB2C6C" w:rsidTr="004D321F">
              <w:trPr>
                <w:tblCellSpacing w:w="15" w:type="dxa"/>
              </w:trPr>
              <w:tc>
                <w:tcPr>
                  <w:tcW w:w="0" w:type="auto"/>
                  <w:vAlign w:val="center"/>
                </w:tcPr>
                <w:p w:rsidR="00E03D9D" w:rsidRPr="00011F86" w:rsidRDefault="00E03D9D" w:rsidP="0054557A">
                  <w:pPr>
                    <w:pStyle w:val="NoSpacing"/>
                    <w:jc w:val="both"/>
                    <w:rPr>
                      <w:rFonts w:ascii="Times New Roman" w:hAnsi="Times New Roman"/>
                      <w:sz w:val="20"/>
                      <w:szCs w:val="20"/>
                      <w:lang w:eastAsia="ru-RU"/>
                    </w:rPr>
                  </w:pPr>
                  <w:r w:rsidRPr="00011F86">
                    <w:rPr>
                      <w:rFonts w:ascii="Times New Roman" w:hAnsi="Times New Roman"/>
                      <w:sz w:val="20"/>
                      <w:szCs w:val="20"/>
                      <w:lang w:eastAsia="ru-RU"/>
                    </w:rPr>
                    <w:t>+27</w:t>
                  </w:r>
                </w:p>
              </w:tc>
            </w:tr>
          </w:tbl>
          <w:p w:rsidR="00E03D9D" w:rsidRPr="00CB2C6C" w:rsidRDefault="00E03D9D" w:rsidP="00CB2C6C">
            <w:pPr>
              <w:pStyle w:val="NoSpacing"/>
              <w:jc w:val="both"/>
              <w:rPr>
                <w:rFonts w:ascii="Times New Roman" w:hAnsi="Times New Roman"/>
                <w:sz w:val="20"/>
                <w:szCs w:val="20"/>
                <w:lang w:val="en-US"/>
              </w:rPr>
            </w:pPr>
          </w:p>
        </w:tc>
      </w:tr>
    </w:tbl>
    <w:p w:rsidR="00E03D9D" w:rsidRDefault="00E03D9D" w:rsidP="0054557A">
      <w:pPr>
        <w:pStyle w:val="NoSpacing"/>
        <w:jc w:val="both"/>
        <w:rPr>
          <w:rFonts w:ascii="Times New Roman" w:hAnsi="Times New Roman"/>
          <w:sz w:val="24"/>
          <w:szCs w:val="24"/>
          <w:lang w:val="en-US"/>
        </w:rPr>
      </w:pPr>
    </w:p>
    <w:p w:rsidR="00E03D9D" w:rsidRPr="0054557A" w:rsidRDefault="00E03D9D" w:rsidP="0054557A">
      <w:pPr>
        <w:pStyle w:val="NoSpacing"/>
        <w:jc w:val="both"/>
        <w:rPr>
          <w:rFonts w:ascii="Times New Roman" w:hAnsi="Times New Roman"/>
          <w:sz w:val="24"/>
          <w:szCs w:val="24"/>
          <w:lang w:val="en-US"/>
        </w:rPr>
      </w:pPr>
      <w:r w:rsidRPr="0054557A">
        <w:rPr>
          <w:rFonts w:ascii="Times New Roman" w:hAnsi="Times New Roman"/>
          <w:sz w:val="24"/>
          <w:szCs w:val="24"/>
          <w:lang w:val="en-US"/>
        </w:rPr>
        <w:t>These results confirm the positive influence of innovative methods—particularly blended learning, ICT tools, project-based activities, and VR—on academic achievement, student motivation, and the development of key linguistic and professional competencies in the context of modern higher education.</w:t>
      </w:r>
    </w:p>
    <w:p w:rsidR="00E03D9D" w:rsidRPr="0054557A" w:rsidRDefault="00E03D9D" w:rsidP="00776974">
      <w:pPr>
        <w:pStyle w:val="NoSpacing"/>
        <w:ind w:firstLine="708"/>
        <w:rPr>
          <w:rFonts w:ascii="Times New Roman" w:hAnsi="Times New Roman"/>
          <w:sz w:val="24"/>
          <w:szCs w:val="24"/>
          <w:lang w:val="en-US" w:eastAsia="ru-RU"/>
        </w:rPr>
      </w:pPr>
      <w:r w:rsidRPr="0054557A">
        <w:rPr>
          <w:rFonts w:ascii="Times New Roman" w:hAnsi="Times New Roman"/>
          <w:b/>
          <w:bCs/>
          <w:sz w:val="24"/>
          <w:szCs w:val="24"/>
          <w:lang w:val="en-US" w:eastAsia="ru-RU"/>
        </w:rPr>
        <w:t>Results of Using VR Technologies</w:t>
      </w:r>
      <w:r w:rsidRPr="00776974">
        <w:rPr>
          <w:rFonts w:ascii="Times New Roman" w:hAnsi="Times New Roman"/>
          <w:b/>
          <w:bCs/>
          <w:sz w:val="24"/>
          <w:szCs w:val="24"/>
          <w:lang w:val="en-US" w:eastAsia="ru-RU"/>
        </w:rPr>
        <w:t xml:space="preserve">. </w:t>
      </w:r>
      <w:r w:rsidRPr="0054557A">
        <w:rPr>
          <w:rFonts w:ascii="Times New Roman" w:hAnsi="Times New Roman"/>
          <w:sz w:val="24"/>
          <w:szCs w:val="24"/>
          <w:lang w:val="en-US" w:eastAsia="ru-RU"/>
        </w:rPr>
        <w:t>According to research by V.K. Nikitina and others, the implementation of virtual reality simulators in language education led to the following improvements among students:</w:t>
      </w:r>
      <w:r w:rsidRPr="0054557A">
        <w:rPr>
          <w:rFonts w:ascii="Times New Roman" w:hAnsi="Times New Roman"/>
          <w:sz w:val="24"/>
          <w:szCs w:val="24"/>
          <w:lang w:val="en-US" w:eastAsia="ru-RU"/>
        </w:rPr>
        <w:br/>
        <w:t>– 27% increase in vocabulary retention;</w:t>
      </w:r>
      <w:r w:rsidRPr="0054557A">
        <w:rPr>
          <w:rFonts w:ascii="Times New Roman" w:hAnsi="Times New Roman"/>
          <w:sz w:val="24"/>
          <w:szCs w:val="24"/>
          <w:lang w:val="en-US" w:eastAsia="ru-RU"/>
        </w:rPr>
        <w:br/>
        <w:t>– 34% improvement in speaking skills;</w:t>
      </w:r>
      <w:r w:rsidRPr="0054557A">
        <w:rPr>
          <w:rFonts w:ascii="Times New Roman" w:hAnsi="Times New Roman"/>
          <w:sz w:val="24"/>
          <w:szCs w:val="24"/>
          <w:lang w:val="en-US" w:eastAsia="ru-RU"/>
        </w:rPr>
        <w:br/>
        <w:t>– 40% enhancement in pronunciation and intonation;</w:t>
      </w:r>
      <w:r w:rsidRPr="0054557A">
        <w:rPr>
          <w:rFonts w:ascii="Times New Roman" w:hAnsi="Times New Roman"/>
          <w:sz w:val="24"/>
          <w:szCs w:val="24"/>
          <w:lang w:val="en-US" w:eastAsia="ru-RU"/>
        </w:rPr>
        <w:br/>
        <w:t>– 45% growth in intercultural sensitivity and adaptability.</w:t>
      </w:r>
    </w:p>
    <w:p w:rsidR="00E03D9D" w:rsidRDefault="00E03D9D" w:rsidP="00E15F05">
      <w:pPr>
        <w:pStyle w:val="NoSpacing"/>
        <w:ind w:firstLine="708"/>
        <w:jc w:val="both"/>
        <w:rPr>
          <w:rFonts w:ascii="Times New Roman" w:hAnsi="Times New Roman"/>
          <w:sz w:val="24"/>
          <w:szCs w:val="24"/>
          <w:lang w:val="en-US" w:eastAsia="ru-RU"/>
        </w:rPr>
      </w:pPr>
      <w:r w:rsidRPr="0054557A">
        <w:rPr>
          <w:rFonts w:ascii="Times New Roman" w:hAnsi="Times New Roman"/>
          <w:b/>
          <w:bCs/>
          <w:sz w:val="24"/>
          <w:szCs w:val="24"/>
          <w:lang w:val="en-US" w:eastAsia="ru-RU"/>
        </w:rPr>
        <w:t>Analysis of the Case Method and Project-Based Activities</w:t>
      </w:r>
      <w:r w:rsidRPr="00776974">
        <w:rPr>
          <w:rFonts w:ascii="Times New Roman" w:hAnsi="Times New Roman"/>
          <w:b/>
          <w:bCs/>
          <w:sz w:val="24"/>
          <w:szCs w:val="24"/>
          <w:lang w:val="en-US" w:eastAsia="ru-RU"/>
        </w:rPr>
        <w:t xml:space="preserve">. </w:t>
      </w:r>
      <w:r w:rsidRPr="0054557A">
        <w:rPr>
          <w:rFonts w:ascii="Times New Roman" w:hAnsi="Times New Roman"/>
          <w:sz w:val="24"/>
          <w:szCs w:val="24"/>
          <w:lang w:val="en-US" w:eastAsia="ru-RU"/>
        </w:rPr>
        <w:t>The use of the case method in teaching English for Specific Purposes (ESP), as examined by Guziekova and Khachak, demonstrated:</w:t>
      </w:r>
    </w:p>
    <w:p w:rsidR="00E03D9D" w:rsidRPr="0054557A" w:rsidRDefault="00E03D9D" w:rsidP="00E15F05">
      <w:pPr>
        <w:pStyle w:val="NoSpacing"/>
        <w:rPr>
          <w:rFonts w:ascii="Times New Roman" w:hAnsi="Times New Roman"/>
          <w:sz w:val="24"/>
          <w:szCs w:val="24"/>
          <w:lang w:val="en-US" w:eastAsia="ru-RU"/>
        </w:rPr>
      </w:pPr>
      <w:r w:rsidRPr="0054557A">
        <w:rPr>
          <w:rFonts w:ascii="Times New Roman" w:hAnsi="Times New Roman"/>
          <w:sz w:val="24"/>
          <w:szCs w:val="24"/>
          <w:lang w:val="en-US" w:eastAsia="ru-RU"/>
        </w:rPr>
        <w:t>– the development of stable analytical skills for professional scenarios;</w:t>
      </w:r>
      <w:r w:rsidRPr="0054557A">
        <w:rPr>
          <w:rFonts w:ascii="Times New Roman" w:hAnsi="Times New Roman"/>
          <w:sz w:val="24"/>
          <w:szCs w:val="24"/>
          <w:lang w:val="en-US" w:eastAsia="ru-RU"/>
        </w:rPr>
        <w:br/>
        <w:t>– improvement in argumentation and public speaking skills (according to student self-assessments, a 35–40% increase);</w:t>
      </w:r>
      <w:r w:rsidRPr="0054557A">
        <w:rPr>
          <w:rFonts w:ascii="Times New Roman" w:hAnsi="Times New Roman"/>
          <w:sz w:val="24"/>
          <w:szCs w:val="24"/>
          <w:lang w:val="en-US" w:eastAsia="ru-RU"/>
        </w:rPr>
        <w:br/>
        <w:t>– enhancement of business writing abilities, with a 31% increase in the quality of written communication in professional contexts.</w:t>
      </w:r>
    </w:p>
    <w:p w:rsidR="00E03D9D"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Modeling of an Integrative Pedagogical Practice</w:t>
      </w:r>
      <w:r w:rsidRPr="00C75FA3">
        <w:rPr>
          <w:rFonts w:ascii="Times New Roman" w:hAnsi="Times New Roman"/>
          <w:b/>
          <w:bCs/>
          <w:sz w:val="24"/>
          <w:szCs w:val="24"/>
          <w:lang w:val="en-US" w:eastAsia="ru-RU"/>
        </w:rPr>
        <w:t xml:space="preserve">. </w:t>
      </w:r>
      <w:r w:rsidRPr="0054557A">
        <w:rPr>
          <w:rFonts w:ascii="Times New Roman" w:hAnsi="Times New Roman"/>
          <w:sz w:val="24"/>
          <w:szCs w:val="24"/>
          <w:lang w:val="en-US" w:eastAsia="ru-RU"/>
        </w:rPr>
        <w:t xml:space="preserve">Based on the data collected, a model was developed for integrating innovative methods into university-level foreign language courses. </w:t>
      </w:r>
    </w:p>
    <w:p w:rsidR="00E03D9D" w:rsidRPr="0054557A" w:rsidRDefault="00E03D9D" w:rsidP="00C75FA3">
      <w:pPr>
        <w:pStyle w:val="NoSpacing"/>
        <w:rPr>
          <w:rFonts w:ascii="Times New Roman" w:hAnsi="Times New Roman"/>
          <w:sz w:val="24"/>
          <w:szCs w:val="24"/>
          <w:lang w:val="en-US" w:eastAsia="ru-RU"/>
        </w:rPr>
      </w:pPr>
      <w:r w:rsidRPr="0054557A">
        <w:rPr>
          <w:rFonts w:ascii="Times New Roman" w:hAnsi="Times New Roman"/>
          <w:sz w:val="24"/>
          <w:szCs w:val="24"/>
          <w:lang w:val="en-US" w:eastAsia="ru-RU"/>
        </w:rPr>
        <w:t>This model includes:</w:t>
      </w:r>
      <w:r w:rsidRPr="0054557A">
        <w:rPr>
          <w:rFonts w:ascii="Times New Roman" w:hAnsi="Times New Roman"/>
          <w:sz w:val="24"/>
          <w:szCs w:val="24"/>
          <w:lang w:val="en-US" w:eastAsia="ru-RU"/>
        </w:rPr>
        <w:br/>
        <w:t>– a flexible modular structure;</w:t>
      </w:r>
      <w:r w:rsidRPr="0054557A">
        <w:rPr>
          <w:rFonts w:ascii="Times New Roman" w:hAnsi="Times New Roman"/>
          <w:sz w:val="24"/>
          <w:szCs w:val="24"/>
          <w:lang w:val="en-US" w:eastAsia="ru-RU"/>
        </w:rPr>
        <w:br/>
        <w:t>– a digital component (ICT tools, VR, educational platforms);</w:t>
      </w:r>
      <w:r w:rsidRPr="0054557A">
        <w:rPr>
          <w:rFonts w:ascii="Times New Roman" w:hAnsi="Times New Roman"/>
          <w:sz w:val="24"/>
          <w:szCs w:val="24"/>
          <w:lang w:val="en-US" w:eastAsia="ru-RU"/>
        </w:rPr>
        <w:br/>
        <w:t>– project-based and case-based learning activities;</w:t>
      </w:r>
      <w:r w:rsidRPr="0054557A">
        <w:rPr>
          <w:rFonts w:ascii="Times New Roman" w:hAnsi="Times New Roman"/>
          <w:sz w:val="24"/>
          <w:szCs w:val="24"/>
          <w:lang w:val="en-US" w:eastAsia="ru-RU"/>
        </w:rPr>
        <w:br/>
        <w:t>– interdisciplinary integration (CLIL);</w:t>
      </w:r>
      <w:r w:rsidRPr="0054557A">
        <w:rPr>
          <w:rFonts w:ascii="Times New Roman" w:hAnsi="Times New Roman"/>
          <w:sz w:val="24"/>
          <w:szCs w:val="24"/>
          <w:lang w:val="en-US" w:eastAsia="ru-RU"/>
        </w:rPr>
        <w:br/>
        <w:t>– mandatory student reflection and self-assessment mechanisms.</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Conditions for Reproducibility</w:t>
      </w:r>
      <w:r w:rsidRPr="00C75FA3">
        <w:rPr>
          <w:rFonts w:ascii="Times New Roman" w:hAnsi="Times New Roman"/>
          <w:b/>
          <w:bCs/>
          <w:sz w:val="24"/>
          <w:szCs w:val="24"/>
          <w:lang w:val="en-US" w:eastAsia="ru-RU"/>
        </w:rPr>
        <w:t xml:space="preserve">. </w:t>
      </w:r>
      <w:r w:rsidRPr="0054557A">
        <w:rPr>
          <w:rFonts w:ascii="Times New Roman" w:hAnsi="Times New Roman"/>
          <w:sz w:val="24"/>
          <w:szCs w:val="24"/>
          <w:lang w:val="en-US" w:eastAsia="ru-RU"/>
        </w:rPr>
        <w:t>Positive outcomes were primarily observed in universities with well-developed digital infrastructure, high methodological competence among faculty members, and curricula that incorporate language training within a professional context.</w:t>
      </w:r>
    </w:p>
    <w:p w:rsidR="00E03D9D" w:rsidRDefault="00E03D9D" w:rsidP="0054557A">
      <w:pPr>
        <w:pStyle w:val="NoSpacing"/>
        <w:jc w:val="both"/>
        <w:rPr>
          <w:rFonts w:ascii="Times New Roman" w:hAnsi="Times New Roman"/>
          <w:b/>
          <w:bCs/>
          <w:sz w:val="24"/>
          <w:szCs w:val="24"/>
          <w:lang w:val="en-US" w:eastAsia="ru-RU"/>
        </w:rPr>
      </w:pP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 xml:space="preserve">Discussion </w:t>
      </w:r>
    </w:p>
    <w:p w:rsidR="00E03D9D" w:rsidRPr="0054557A" w:rsidRDefault="00E03D9D" w:rsidP="00C75FA3">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The findings of this study confirmed the hypothesis regarding the high effectiveness of innovative methods in teaching language disciplines within the higher education system. Based on content analysis and empirical data from contemporary publications, it can be concluded that the implementation of flexible, digital, and communicatively oriented approaches contributes not only to improved language proficiency but also to the development of cross-disciplinary, professional, and intercultural competencies among students.</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One of the most significant observations was the consistent increase in student motivation and engagement when blended learning, digital educational platforms, and virtual reality technologies were employed. These results are consistent with previously published research (e.g., Nikitina V.K., 2023), which emphasizes that combining in-person and online formats allows for greater personalization of learning and enhances student autonomy. Notably, the VR environment not only increases interest in the subject but also creates immersive conditions for language acquisition, improving pronunciation, contextual understanding, and the ability to engage in spontaneous communication.</w:t>
      </w:r>
    </w:p>
    <w:p w:rsidR="00E03D9D" w:rsidRPr="0054557A" w:rsidRDefault="00E03D9D" w:rsidP="00C75FA3">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The analysis of the case method and project-based learning also revealed a high degree of alignment with the educational objectives of higher education. These methods provide opportunities to integrate language learning with professional scenarios, while fostering critical thinking, analytical reasoning, argumentation, and public speaking skills. This is particularly relevant in the context of teaching ESP and CLIL, where both linguistic and subject-specific content are essential. The general model proposed in this study illustrates how innovative methods can be effectively incorporated into existing university course structures without compromising academic standards or requirements.</w:t>
      </w:r>
    </w:p>
    <w:p w:rsidR="00E03D9D" w:rsidRPr="0054557A" w:rsidRDefault="00E03D9D" w:rsidP="00C75FA3">
      <w:pPr>
        <w:pStyle w:val="NoSpacing"/>
        <w:ind w:firstLine="708"/>
        <w:jc w:val="both"/>
        <w:rPr>
          <w:rFonts w:ascii="Times New Roman" w:hAnsi="Times New Roman"/>
          <w:sz w:val="24"/>
          <w:szCs w:val="24"/>
          <w:lang w:val="en-US" w:eastAsia="ru-RU"/>
        </w:rPr>
      </w:pPr>
      <w:r w:rsidRPr="0054557A">
        <w:rPr>
          <w:rFonts w:ascii="Times New Roman" w:hAnsi="Times New Roman"/>
          <w:sz w:val="24"/>
          <w:szCs w:val="24"/>
          <w:lang w:val="en-US" w:eastAsia="ru-RU"/>
        </w:rPr>
        <w:t>On the other hand, the analysis also showed that the effectiveness of innovative methods largely depends on infrastructural conditions (availability of equipment and digital platforms) as well as the methodological readiness of instructors. This underscores the need for ongoing professional development and institutional support for innovative educational practices.</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For future research, it would be valuable to explore the integration of VR and AI technologies in language education in greater depth, as well as conduct comparative studies of outcomes across humanities and STEM disciplines. Additionally, further investigation into the role of cross-cultural projects in developing student empathy and global competence is recommended.</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In conclusion, the discussed results not only validate the effectiveness of the implemented approaches but also emphasize the importance of their systematic adoption in university teaching practices. These methods help align language education with the real-world demands of professional and sociocultural communication in an ever-changing global context.</w:t>
      </w:r>
    </w:p>
    <w:p w:rsidR="00E03D9D" w:rsidRDefault="00E03D9D" w:rsidP="0054557A">
      <w:pPr>
        <w:pStyle w:val="NoSpacing"/>
        <w:jc w:val="both"/>
        <w:rPr>
          <w:rStyle w:val="Strong"/>
          <w:rFonts w:ascii="Times New Roman" w:hAnsi="Times New Roman"/>
          <w:sz w:val="24"/>
          <w:szCs w:val="24"/>
          <w:lang w:val="en-US"/>
        </w:rPr>
      </w:pPr>
    </w:p>
    <w:p w:rsidR="00E03D9D" w:rsidRPr="0054557A" w:rsidRDefault="00E03D9D" w:rsidP="0054557A">
      <w:pPr>
        <w:pStyle w:val="NoSpacing"/>
        <w:jc w:val="both"/>
        <w:rPr>
          <w:rFonts w:ascii="Times New Roman" w:hAnsi="Times New Roman"/>
          <w:sz w:val="24"/>
          <w:szCs w:val="24"/>
          <w:lang w:val="en-US"/>
        </w:rPr>
      </w:pPr>
      <w:r w:rsidRPr="0054557A">
        <w:rPr>
          <w:rStyle w:val="Strong"/>
          <w:rFonts w:ascii="Times New Roman" w:hAnsi="Times New Roman"/>
          <w:sz w:val="24"/>
          <w:szCs w:val="24"/>
          <w:lang w:val="en-US"/>
        </w:rPr>
        <w:t>Conclusions</w:t>
      </w:r>
    </w:p>
    <w:p w:rsidR="00E03D9D" w:rsidRPr="0054557A" w:rsidRDefault="00E03D9D" w:rsidP="00C75FA3">
      <w:pPr>
        <w:pStyle w:val="NoSpacing"/>
        <w:ind w:firstLine="708"/>
        <w:jc w:val="both"/>
        <w:rPr>
          <w:rFonts w:ascii="Times New Roman" w:hAnsi="Times New Roman"/>
          <w:sz w:val="24"/>
          <w:szCs w:val="24"/>
          <w:lang w:val="en-US"/>
        </w:rPr>
      </w:pPr>
      <w:r w:rsidRPr="0054557A">
        <w:rPr>
          <w:rFonts w:ascii="Times New Roman" w:hAnsi="Times New Roman"/>
          <w:sz w:val="24"/>
          <w:szCs w:val="24"/>
          <w:lang w:val="en-US"/>
        </w:rPr>
        <w:t>The conducted study confirmed the relevance and effectiveness of implementing innovative approaches in the teaching of language disciplines in higher education under the conditions of digitalization and globalization. Based on the analysis of modern methodologies, theoretical frameworks, and practical experiences, the key directions for the modernization of language education were identified: blended learning, the use of ICT and Web 2.0 platforms, virtual reality technologies, the case method, project-based learning, and content and language integrated learning (CLIL).</w:t>
      </w:r>
    </w:p>
    <w:p w:rsidR="00E03D9D" w:rsidRPr="0054557A" w:rsidRDefault="00E03D9D" w:rsidP="0054557A">
      <w:pPr>
        <w:pStyle w:val="NoSpacing"/>
        <w:jc w:val="both"/>
        <w:rPr>
          <w:rFonts w:ascii="Times New Roman" w:hAnsi="Times New Roman"/>
          <w:sz w:val="24"/>
          <w:szCs w:val="24"/>
          <w:lang w:val="en-US"/>
        </w:rPr>
      </w:pPr>
      <w:r w:rsidRPr="0054557A">
        <w:rPr>
          <w:rFonts w:ascii="Times New Roman" w:hAnsi="Times New Roman"/>
          <w:sz w:val="24"/>
          <w:szCs w:val="24"/>
          <w:lang w:val="en-US"/>
        </w:rPr>
        <w:t>The main conclusions can be summarized as follows:</w:t>
      </w:r>
    </w:p>
    <w:p w:rsidR="00E03D9D" w:rsidRPr="00C75FA3" w:rsidRDefault="00E03D9D" w:rsidP="0054557A">
      <w:pPr>
        <w:pStyle w:val="NoSpacing"/>
        <w:jc w:val="both"/>
        <w:rPr>
          <w:rFonts w:ascii="Times New Roman" w:hAnsi="Times New Roman"/>
          <w:sz w:val="24"/>
          <w:szCs w:val="24"/>
          <w:lang w:val="en-US"/>
        </w:rPr>
      </w:pPr>
      <w:r w:rsidRPr="00C75FA3">
        <w:rPr>
          <w:rStyle w:val="Strong"/>
          <w:rFonts w:ascii="Times New Roman" w:hAnsi="Times New Roman"/>
          <w:b w:val="0"/>
          <w:sz w:val="24"/>
          <w:szCs w:val="24"/>
          <w:lang w:val="en-US"/>
        </w:rPr>
        <w:t>Innovative methods</w:t>
      </w:r>
      <w:r w:rsidRPr="00C75FA3">
        <w:rPr>
          <w:rFonts w:ascii="Times New Roman" w:hAnsi="Times New Roman"/>
          <w:sz w:val="24"/>
          <w:szCs w:val="24"/>
          <w:lang w:val="en-US"/>
        </w:rPr>
        <w:t xml:space="preserve"> enhance student motivation, engagement, and autonomy, while also fostering the development of critical thinking, communication, and professional skills.</w:t>
      </w:r>
    </w:p>
    <w:p w:rsidR="00E03D9D" w:rsidRPr="00C75FA3" w:rsidRDefault="00E03D9D" w:rsidP="0054557A">
      <w:pPr>
        <w:pStyle w:val="NoSpacing"/>
        <w:jc w:val="both"/>
        <w:rPr>
          <w:rFonts w:ascii="Times New Roman" w:hAnsi="Times New Roman"/>
          <w:sz w:val="24"/>
          <w:szCs w:val="24"/>
          <w:lang w:val="en-US"/>
        </w:rPr>
      </w:pPr>
      <w:r w:rsidRPr="00C75FA3">
        <w:rPr>
          <w:rFonts w:ascii="Times New Roman" w:hAnsi="Times New Roman"/>
          <w:sz w:val="24"/>
          <w:szCs w:val="24"/>
          <w:lang w:val="en-US"/>
        </w:rPr>
        <w:t xml:space="preserve">The </w:t>
      </w:r>
      <w:r w:rsidRPr="00C75FA3">
        <w:rPr>
          <w:rStyle w:val="Strong"/>
          <w:rFonts w:ascii="Times New Roman" w:hAnsi="Times New Roman"/>
          <w:b w:val="0"/>
          <w:sz w:val="24"/>
          <w:szCs w:val="24"/>
          <w:lang w:val="en-US"/>
        </w:rPr>
        <w:t>use of VR and digital platforms</w:t>
      </w:r>
      <w:r w:rsidRPr="00C75FA3">
        <w:rPr>
          <w:rFonts w:ascii="Times New Roman" w:hAnsi="Times New Roman"/>
          <w:sz w:val="24"/>
          <w:szCs w:val="24"/>
          <w:lang w:val="en-US"/>
        </w:rPr>
        <w:t xml:space="preserve"> significantly improves language acquisition, particularly in the areas of pronunciation, contextual understanding, and intercultural communication.</w:t>
      </w:r>
    </w:p>
    <w:p w:rsidR="00E03D9D" w:rsidRPr="00C75FA3" w:rsidRDefault="00E03D9D" w:rsidP="0054557A">
      <w:pPr>
        <w:pStyle w:val="NoSpacing"/>
        <w:jc w:val="both"/>
        <w:rPr>
          <w:rFonts w:ascii="Times New Roman" w:hAnsi="Times New Roman"/>
          <w:sz w:val="24"/>
          <w:szCs w:val="24"/>
          <w:lang w:val="en-US"/>
        </w:rPr>
      </w:pPr>
      <w:r w:rsidRPr="00C75FA3">
        <w:rPr>
          <w:rStyle w:val="Strong"/>
          <w:rFonts w:ascii="Times New Roman" w:hAnsi="Times New Roman"/>
          <w:b w:val="0"/>
          <w:sz w:val="24"/>
          <w:szCs w:val="24"/>
          <w:lang w:val="en-US"/>
        </w:rPr>
        <w:t>The case method and project-based learning</w:t>
      </w:r>
      <w:r w:rsidRPr="00C75FA3">
        <w:rPr>
          <w:rFonts w:ascii="Times New Roman" w:hAnsi="Times New Roman"/>
          <w:sz w:val="24"/>
          <w:szCs w:val="24"/>
          <w:lang w:val="en-US"/>
        </w:rPr>
        <w:t xml:space="preserve"> provide meaningful opportunities for integrating language education with professional practice, which is especially valuable for students in non-linguistic majors.</w:t>
      </w:r>
    </w:p>
    <w:p w:rsidR="00E03D9D" w:rsidRPr="00C75FA3" w:rsidRDefault="00E03D9D" w:rsidP="0054557A">
      <w:pPr>
        <w:pStyle w:val="NoSpacing"/>
        <w:jc w:val="both"/>
        <w:rPr>
          <w:rFonts w:ascii="Times New Roman" w:hAnsi="Times New Roman"/>
          <w:sz w:val="24"/>
          <w:szCs w:val="24"/>
          <w:lang w:val="en-US"/>
        </w:rPr>
      </w:pPr>
      <w:r w:rsidRPr="00C75FA3">
        <w:rPr>
          <w:rFonts w:ascii="Times New Roman" w:hAnsi="Times New Roman"/>
          <w:sz w:val="24"/>
          <w:szCs w:val="24"/>
          <w:lang w:val="en-US"/>
        </w:rPr>
        <w:t xml:space="preserve">The </w:t>
      </w:r>
      <w:r w:rsidRPr="00C75FA3">
        <w:rPr>
          <w:rStyle w:val="Strong"/>
          <w:rFonts w:ascii="Times New Roman" w:hAnsi="Times New Roman"/>
          <w:b w:val="0"/>
          <w:sz w:val="24"/>
          <w:szCs w:val="24"/>
          <w:lang w:val="en-US"/>
        </w:rPr>
        <w:t>effectiveness of implementing innovative methods</w:t>
      </w:r>
      <w:r w:rsidRPr="00C75FA3">
        <w:rPr>
          <w:rFonts w:ascii="Times New Roman" w:hAnsi="Times New Roman"/>
          <w:sz w:val="24"/>
          <w:szCs w:val="24"/>
          <w:lang w:val="en-US"/>
        </w:rPr>
        <w:t xml:space="preserve"> depends on the university’s digital infrastructure, the flexibility of its academic programs, and the methodological preparedness of instructors.</w:t>
      </w:r>
    </w:p>
    <w:p w:rsidR="00E03D9D" w:rsidRPr="0054557A" w:rsidRDefault="00E03D9D" w:rsidP="0054557A">
      <w:pPr>
        <w:pStyle w:val="NoSpacing"/>
        <w:jc w:val="both"/>
        <w:rPr>
          <w:rFonts w:ascii="Times New Roman" w:hAnsi="Times New Roman"/>
          <w:sz w:val="24"/>
          <w:szCs w:val="24"/>
          <w:lang w:val="en-US"/>
        </w:rPr>
      </w:pPr>
      <w:r w:rsidRPr="00C75FA3">
        <w:rPr>
          <w:rFonts w:ascii="Times New Roman" w:hAnsi="Times New Roman"/>
          <w:sz w:val="24"/>
          <w:szCs w:val="24"/>
          <w:lang w:val="en-US"/>
        </w:rPr>
        <w:t xml:space="preserve">The </w:t>
      </w:r>
      <w:r w:rsidRPr="00C75FA3">
        <w:rPr>
          <w:rStyle w:val="Strong"/>
          <w:rFonts w:ascii="Times New Roman" w:hAnsi="Times New Roman"/>
          <w:b w:val="0"/>
          <w:sz w:val="24"/>
          <w:szCs w:val="24"/>
          <w:lang w:val="en-US"/>
        </w:rPr>
        <w:t>generalized model for integrating innovations</w:t>
      </w:r>
      <w:r w:rsidRPr="00C75FA3">
        <w:rPr>
          <w:rFonts w:ascii="Times New Roman" w:hAnsi="Times New Roman"/>
          <w:sz w:val="24"/>
          <w:szCs w:val="24"/>
          <w:lang w:val="en-US"/>
        </w:rPr>
        <w:t xml:space="preserve"> developed</w:t>
      </w:r>
      <w:r w:rsidRPr="0054557A">
        <w:rPr>
          <w:rFonts w:ascii="Times New Roman" w:hAnsi="Times New Roman"/>
          <w:sz w:val="24"/>
          <w:szCs w:val="24"/>
          <w:lang w:val="en-US"/>
        </w:rPr>
        <w:t xml:space="preserve"> during this study can be adapted to various educational contexts and serves as a foundation for building a learner-centered and competency-based language instruction framework.</w:t>
      </w:r>
    </w:p>
    <w:p w:rsidR="00E03D9D" w:rsidRPr="0054557A" w:rsidRDefault="00E03D9D" w:rsidP="0054557A">
      <w:pPr>
        <w:pStyle w:val="NoSpacing"/>
        <w:jc w:val="both"/>
        <w:rPr>
          <w:rFonts w:ascii="Times New Roman" w:hAnsi="Times New Roman"/>
          <w:sz w:val="24"/>
          <w:szCs w:val="24"/>
          <w:lang w:val="en-US"/>
        </w:rPr>
      </w:pPr>
      <w:r w:rsidRPr="0054557A">
        <w:rPr>
          <w:rFonts w:ascii="Times New Roman" w:hAnsi="Times New Roman"/>
          <w:sz w:val="24"/>
          <w:szCs w:val="24"/>
          <w:lang w:val="en-US"/>
        </w:rPr>
        <w:t>The findings of this research have both practical and theoretical implications, as they reinforce the necessity of shifting from traditional to flexible, digitally oriented models of language education. Future research should explore the effectiveness of specific digital tools in greater depth, assess their impact on student academic performance across different fields of study, and develop comprehensive models for blended and distance learning tailored to the professional profiles of higher education institutions.</w:t>
      </w:r>
    </w:p>
    <w:p w:rsidR="00E03D9D" w:rsidRPr="0054557A" w:rsidRDefault="00E03D9D" w:rsidP="0054557A">
      <w:pPr>
        <w:pStyle w:val="NoSpacing"/>
        <w:jc w:val="both"/>
        <w:rPr>
          <w:rFonts w:ascii="Times New Roman" w:hAnsi="Times New Roman"/>
          <w:sz w:val="24"/>
          <w:szCs w:val="24"/>
          <w:lang w:val="en-US"/>
        </w:rPr>
      </w:pPr>
      <w:r w:rsidRPr="0054557A">
        <w:rPr>
          <w:rFonts w:ascii="Times New Roman" w:hAnsi="Times New Roman"/>
          <w:sz w:val="24"/>
          <w:szCs w:val="24"/>
          <w:lang w:val="en-US"/>
        </w:rPr>
        <w:t>In conclusion, innovative approaches to language teaching in higher education are becoming an essential condition for preparing students for successful professional, academic, and intercultural communication in a rapidly changing world.</w:t>
      </w:r>
    </w:p>
    <w:p w:rsidR="00E03D9D" w:rsidRPr="0054557A" w:rsidRDefault="00E03D9D" w:rsidP="0054557A">
      <w:pPr>
        <w:pStyle w:val="NoSpacing"/>
        <w:jc w:val="both"/>
        <w:rPr>
          <w:rFonts w:ascii="Times New Roman" w:hAnsi="Times New Roman"/>
          <w:sz w:val="24"/>
          <w:szCs w:val="24"/>
          <w:lang w:val="en-US" w:eastAsia="ru-RU"/>
        </w:rPr>
      </w:pPr>
    </w:p>
    <w:p w:rsidR="00E03D9D" w:rsidRPr="0054557A" w:rsidRDefault="00E03D9D" w:rsidP="0054557A">
      <w:pPr>
        <w:pStyle w:val="NoSpacing"/>
        <w:jc w:val="both"/>
        <w:rPr>
          <w:rFonts w:ascii="Times New Roman" w:hAnsi="Times New Roman"/>
          <w:sz w:val="24"/>
          <w:szCs w:val="24"/>
          <w:lang w:val="en-US"/>
        </w:rPr>
      </w:pP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b/>
          <w:bCs/>
          <w:sz w:val="24"/>
          <w:szCs w:val="24"/>
          <w:lang w:val="en-US" w:eastAsia="ru-RU"/>
        </w:rPr>
        <w:t>References</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[1] E. I. Passov, </w:t>
      </w:r>
      <w:r w:rsidRPr="0054557A">
        <w:rPr>
          <w:rFonts w:ascii="Times New Roman" w:hAnsi="Times New Roman"/>
          <w:i/>
          <w:iCs/>
          <w:sz w:val="24"/>
          <w:szCs w:val="24"/>
          <w:lang w:val="en-US" w:eastAsia="ru-RU"/>
        </w:rPr>
        <w:t>Kommunikativnyymetodobucheniyainoyazychnomugovoreniyu</w:t>
      </w:r>
      <w:r w:rsidRPr="0054557A">
        <w:rPr>
          <w:rFonts w:ascii="Times New Roman" w:hAnsi="Times New Roman"/>
          <w:sz w:val="24"/>
          <w:szCs w:val="24"/>
          <w:lang w:val="en-US" w:eastAsia="ru-RU"/>
        </w:rPr>
        <w:t>, Moscow: Prosveshchenie, 1991.</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[2] A. A. Verbitsky, </w:t>
      </w:r>
      <w:r w:rsidRPr="0054557A">
        <w:rPr>
          <w:rFonts w:ascii="Times New Roman" w:hAnsi="Times New Roman"/>
          <w:i/>
          <w:iCs/>
          <w:sz w:val="24"/>
          <w:szCs w:val="24"/>
          <w:lang w:val="en-US" w:eastAsia="ru-RU"/>
        </w:rPr>
        <w:t>Kontekstnoyeobucheniye: teoriyaitekhnologiya</w:t>
      </w:r>
      <w:r w:rsidRPr="0054557A">
        <w:rPr>
          <w:rFonts w:ascii="Times New Roman" w:hAnsi="Times New Roman"/>
          <w:sz w:val="24"/>
          <w:szCs w:val="24"/>
          <w:lang w:val="en-US" w:eastAsia="ru-RU"/>
        </w:rPr>
        <w:t>, Moscow: IC Akademiya, 2004.</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[3] V. V. Borshchev, “Metodologicheskiyeaspektyprepodavaniyainostrannogoyazykadlyaprofessionalnykhtseley (ESP) v vuze,” </w:t>
      </w:r>
      <w:r w:rsidRPr="0054557A">
        <w:rPr>
          <w:rFonts w:ascii="Times New Roman" w:hAnsi="Times New Roman"/>
          <w:i/>
          <w:iCs/>
          <w:sz w:val="24"/>
          <w:szCs w:val="24"/>
          <w:lang w:val="en-US" w:eastAsia="ru-RU"/>
        </w:rPr>
        <w:t>Pedagogikaipsikhologiyaobrazovaniya</w:t>
      </w:r>
      <w:r w:rsidRPr="0054557A">
        <w:rPr>
          <w:rFonts w:ascii="Times New Roman" w:hAnsi="Times New Roman"/>
          <w:sz w:val="24"/>
          <w:szCs w:val="24"/>
          <w:lang w:val="en-US" w:eastAsia="ru-RU"/>
        </w:rPr>
        <w:t>, no. 3, pp. 85–91, 2020.</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[4] S. M. Guziekova and S. K. Khachak, “Keys-metodkakinnovatsionnyypodkhod v obucheniiinostrannomuyazyku v vuze,” </w:t>
      </w:r>
      <w:r w:rsidRPr="0054557A">
        <w:rPr>
          <w:rFonts w:ascii="Times New Roman" w:hAnsi="Times New Roman"/>
          <w:i/>
          <w:iCs/>
          <w:sz w:val="24"/>
          <w:szCs w:val="24"/>
          <w:lang w:val="en-US" w:eastAsia="ru-RU"/>
        </w:rPr>
        <w:t>VestnikAdygeyskogogosudarstvennogouniversiteta. Seriya: Filologiyaiiskusstvovedeniye</w:t>
      </w:r>
      <w:r w:rsidRPr="0054557A">
        <w:rPr>
          <w:rFonts w:ascii="Times New Roman" w:hAnsi="Times New Roman"/>
          <w:sz w:val="24"/>
          <w:szCs w:val="24"/>
          <w:lang w:val="en-US" w:eastAsia="ru-RU"/>
        </w:rPr>
        <w:t>, no. 1, pp. 120–127, 2021.</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[5] V. K. Nikitina, “Smeshannoyeobucheniyeitekhnologiivirtualnoyrealnosti v prepodavaniiinostrannykhyazykov: opytiperspektivy,” </w:t>
      </w:r>
      <w:r w:rsidRPr="0054557A">
        <w:rPr>
          <w:rFonts w:ascii="Times New Roman" w:hAnsi="Times New Roman"/>
          <w:i/>
          <w:iCs/>
          <w:sz w:val="24"/>
          <w:szCs w:val="24"/>
          <w:lang w:val="en-US" w:eastAsia="ru-RU"/>
        </w:rPr>
        <w:t>Upravleniyeobrazovaniyem: teoriyaipraktika</w:t>
      </w:r>
      <w:r w:rsidRPr="0054557A">
        <w:rPr>
          <w:rFonts w:ascii="Times New Roman" w:hAnsi="Times New Roman"/>
          <w:sz w:val="24"/>
          <w:szCs w:val="24"/>
          <w:lang w:val="en-US" w:eastAsia="ru-RU"/>
        </w:rPr>
        <w:t>, no. 4, pp. 66–72, 2023.</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[6] E. V. Volodina, </w:t>
      </w:r>
      <w:r w:rsidRPr="0054557A">
        <w:rPr>
          <w:rFonts w:ascii="Times New Roman" w:hAnsi="Times New Roman"/>
          <w:i/>
          <w:iCs/>
          <w:sz w:val="24"/>
          <w:szCs w:val="24"/>
          <w:lang w:val="en-US" w:eastAsia="ru-RU"/>
        </w:rPr>
        <w:t>Innovatsionnyyepedagogicheskiyetekhnologii v obucheniiinostrannymyazykam</w:t>
      </w:r>
      <w:r w:rsidRPr="0054557A">
        <w:rPr>
          <w:rFonts w:ascii="Times New Roman" w:hAnsi="Times New Roman"/>
          <w:sz w:val="24"/>
          <w:szCs w:val="24"/>
          <w:lang w:val="en-US" w:eastAsia="ru-RU"/>
        </w:rPr>
        <w:t>, Moscow: Akademiya, 2019.</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[7] Yu. N. Surmin, </w:t>
      </w:r>
      <w:r w:rsidRPr="0054557A">
        <w:rPr>
          <w:rFonts w:ascii="Times New Roman" w:hAnsi="Times New Roman"/>
          <w:i/>
          <w:iCs/>
          <w:sz w:val="24"/>
          <w:szCs w:val="24"/>
          <w:lang w:val="en-US" w:eastAsia="ru-RU"/>
        </w:rPr>
        <w:t>Metodkeysov v obuchenii</w:t>
      </w:r>
      <w:r w:rsidRPr="0054557A">
        <w:rPr>
          <w:rFonts w:ascii="Times New Roman" w:hAnsi="Times New Roman"/>
          <w:sz w:val="24"/>
          <w:szCs w:val="24"/>
          <w:lang w:val="en-US" w:eastAsia="ru-RU"/>
        </w:rPr>
        <w:t>, Moscow: Infra-M, 2012.</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[8] </w:t>
      </w:r>
      <w:r w:rsidRPr="0054557A">
        <w:rPr>
          <w:rFonts w:ascii="Times New Roman" w:hAnsi="Times New Roman"/>
          <w:i/>
          <w:iCs/>
          <w:sz w:val="24"/>
          <w:szCs w:val="24"/>
          <w:lang w:val="en-US" w:eastAsia="ru-RU"/>
        </w:rPr>
        <w:t>Sovremennyyepodkhody k prepodavaniyuinostrannogoyazyka</w:t>
      </w:r>
      <w:r w:rsidRPr="0054557A">
        <w:rPr>
          <w:rFonts w:ascii="Times New Roman" w:hAnsi="Times New Roman"/>
          <w:sz w:val="24"/>
          <w:szCs w:val="24"/>
          <w:lang w:val="en-US" w:eastAsia="ru-RU"/>
        </w:rPr>
        <w:t>, Minsk: Minsk Regional Institute of Education Development, 2022.</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[9] D. Marsh, “CLIL/EMILE – The European Dimension: Actions, Trends and Foresight Potential,” University of Jyväskylä, Finland, 2002.</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[10] A. Littlejohn and D. Hicks, </w:t>
      </w:r>
      <w:r w:rsidRPr="0054557A">
        <w:rPr>
          <w:rFonts w:ascii="Times New Roman" w:hAnsi="Times New Roman"/>
          <w:i/>
          <w:iCs/>
          <w:sz w:val="24"/>
          <w:szCs w:val="24"/>
          <w:lang w:val="en-US" w:eastAsia="ru-RU"/>
        </w:rPr>
        <w:t>Cambridge English for the 21st Century Learner</w:t>
      </w:r>
      <w:r w:rsidRPr="0054557A">
        <w:rPr>
          <w:rFonts w:ascii="Times New Roman" w:hAnsi="Times New Roman"/>
          <w:sz w:val="24"/>
          <w:szCs w:val="24"/>
          <w:lang w:val="en-US" w:eastAsia="ru-RU"/>
        </w:rPr>
        <w:t>, Cambridge: Cambridge University Press, 2018.</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[11] J. D. Chapelle and M. Sauro, </w:t>
      </w:r>
      <w:r w:rsidRPr="0054557A">
        <w:rPr>
          <w:rFonts w:ascii="Times New Roman" w:hAnsi="Times New Roman"/>
          <w:i/>
          <w:iCs/>
          <w:sz w:val="24"/>
          <w:szCs w:val="24"/>
          <w:lang w:val="en-US" w:eastAsia="ru-RU"/>
        </w:rPr>
        <w:t>The Handbook of Technology and Second Language Teaching and Learning</w:t>
      </w:r>
      <w:r w:rsidRPr="0054557A">
        <w:rPr>
          <w:rFonts w:ascii="Times New Roman" w:hAnsi="Times New Roman"/>
          <w:sz w:val="24"/>
          <w:szCs w:val="24"/>
          <w:lang w:val="en-US" w:eastAsia="ru-RU"/>
        </w:rPr>
        <w:t>, Hoboken, NJ: Wiley-Blackwell, 2017.</w:t>
      </w:r>
    </w:p>
    <w:p w:rsidR="00E03D9D" w:rsidRPr="0054557A" w:rsidRDefault="00E03D9D" w:rsidP="0054557A">
      <w:pPr>
        <w:pStyle w:val="NoSpacing"/>
        <w:jc w:val="both"/>
        <w:rPr>
          <w:rFonts w:ascii="Times New Roman" w:hAnsi="Times New Roman"/>
          <w:sz w:val="24"/>
          <w:szCs w:val="24"/>
          <w:lang w:val="en-US" w:eastAsia="ru-RU"/>
        </w:rPr>
      </w:pPr>
      <w:r w:rsidRPr="0054557A">
        <w:rPr>
          <w:rFonts w:ascii="Times New Roman" w:hAnsi="Times New Roman"/>
          <w:sz w:val="24"/>
          <w:szCs w:val="24"/>
          <w:lang w:val="en-US" w:eastAsia="ru-RU"/>
        </w:rPr>
        <w:t xml:space="preserve">[12] M. Pegrum, </w:t>
      </w:r>
      <w:r w:rsidRPr="0054557A">
        <w:rPr>
          <w:rFonts w:ascii="Times New Roman" w:hAnsi="Times New Roman"/>
          <w:i/>
          <w:iCs/>
          <w:sz w:val="24"/>
          <w:szCs w:val="24"/>
          <w:lang w:val="en-US" w:eastAsia="ru-RU"/>
        </w:rPr>
        <w:t>Mobile Learning: Languages, Literacies and Cultures</w:t>
      </w:r>
      <w:r w:rsidRPr="0054557A">
        <w:rPr>
          <w:rFonts w:ascii="Times New Roman" w:hAnsi="Times New Roman"/>
          <w:sz w:val="24"/>
          <w:szCs w:val="24"/>
          <w:lang w:val="en-US" w:eastAsia="ru-RU"/>
        </w:rPr>
        <w:t>, London: Palgrave Macmillan, 2014.</w:t>
      </w:r>
    </w:p>
    <w:p w:rsidR="00E03D9D" w:rsidRPr="0054557A" w:rsidRDefault="00E03D9D" w:rsidP="0054557A">
      <w:pPr>
        <w:pStyle w:val="NoSpacing"/>
        <w:jc w:val="both"/>
        <w:rPr>
          <w:rFonts w:ascii="Times New Roman" w:hAnsi="Times New Roman"/>
          <w:sz w:val="24"/>
          <w:szCs w:val="24"/>
          <w:lang w:val="en-US"/>
        </w:rPr>
      </w:pPr>
    </w:p>
    <w:sectPr w:rsidR="00E03D9D" w:rsidRPr="0054557A" w:rsidSect="00C543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449"/>
    <w:multiLevelType w:val="multilevel"/>
    <w:tmpl w:val="64BE2E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32F2659"/>
    <w:multiLevelType w:val="multilevel"/>
    <w:tmpl w:val="B66E3DEC"/>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4BD60CBF"/>
    <w:multiLevelType w:val="multilevel"/>
    <w:tmpl w:val="3B00C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2E09CB"/>
    <w:multiLevelType w:val="multilevel"/>
    <w:tmpl w:val="CA68A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2B50209"/>
    <w:multiLevelType w:val="multilevel"/>
    <w:tmpl w:val="6DB04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0C57A32"/>
    <w:multiLevelType w:val="multilevel"/>
    <w:tmpl w:val="4EFC95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557F"/>
    <w:rsid w:val="00011F86"/>
    <w:rsid w:val="000633CB"/>
    <w:rsid w:val="000A74AC"/>
    <w:rsid w:val="00146A5E"/>
    <w:rsid w:val="001C0189"/>
    <w:rsid w:val="00307426"/>
    <w:rsid w:val="00333A12"/>
    <w:rsid w:val="003345AE"/>
    <w:rsid w:val="00415DA7"/>
    <w:rsid w:val="00496A61"/>
    <w:rsid w:val="004A128F"/>
    <w:rsid w:val="004B4449"/>
    <w:rsid w:val="004D321F"/>
    <w:rsid w:val="004E0FA3"/>
    <w:rsid w:val="0054557A"/>
    <w:rsid w:val="0054557F"/>
    <w:rsid w:val="005F1304"/>
    <w:rsid w:val="007644E6"/>
    <w:rsid w:val="00776974"/>
    <w:rsid w:val="00797D38"/>
    <w:rsid w:val="00857B7B"/>
    <w:rsid w:val="00911ED3"/>
    <w:rsid w:val="009A04F4"/>
    <w:rsid w:val="009D42BC"/>
    <w:rsid w:val="009F52FB"/>
    <w:rsid w:val="00A77B85"/>
    <w:rsid w:val="00AD514C"/>
    <w:rsid w:val="00AE31C2"/>
    <w:rsid w:val="00B33817"/>
    <w:rsid w:val="00C543EC"/>
    <w:rsid w:val="00C62013"/>
    <w:rsid w:val="00C75FA3"/>
    <w:rsid w:val="00CA67C3"/>
    <w:rsid w:val="00CB2C6C"/>
    <w:rsid w:val="00DA54AA"/>
    <w:rsid w:val="00E03D9D"/>
    <w:rsid w:val="00E15F05"/>
    <w:rsid w:val="00E95DCB"/>
    <w:rsid w:val="00EF6AFD"/>
    <w:rsid w:val="00F51A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3EC"/>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4557F"/>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A77B85"/>
    <w:rPr>
      <w:rFonts w:cs="Times New Roman"/>
      <w:b/>
      <w:bCs/>
    </w:rPr>
  </w:style>
  <w:style w:type="paragraph" w:styleId="ListParagraph">
    <w:name w:val="List Paragraph"/>
    <w:basedOn w:val="Normal"/>
    <w:uiPriority w:val="99"/>
    <w:qFormat/>
    <w:rsid w:val="00DA54AA"/>
    <w:pPr>
      <w:ind w:left="720"/>
      <w:contextualSpacing/>
    </w:pPr>
  </w:style>
  <w:style w:type="character" w:styleId="Emphasis">
    <w:name w:val="Emphasis"/>
    <w:basedOn w:val="DefaultParagraphFont"/>
    <w:uiPriority w:val="99"/>
    <w:qFormat/>
    <w:rsid w:val="004E0FA3"/>
    <w:rPr>
      <w:rFonts w:cs="Times New Roman"/>
      <w:i/>
      <w:iCs/>
    </w:rPr>
  </w:style>
  <w:style w:type="table" w:styleId="TableGrid">
    <w:name w:val="Table Grid"/>
    <w:basedOn w:val="TableNormal"/>
    <w:uiPriority w:val="99"/>
    <w:rsid w:val="00C6201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54557A"/>
    <w:rPr>
      <w:lang w:val="ru-RU"/>
    </w:rPr>
  </w:style>
</w:styles>
</file>

<file path=word/webSettings.xml><?xml version="1.0" encoding="utf-8"?>
<w:webSettings xmlns:r="http://schemas.openxmlformats.org/officeDocument/2006/relationships" xmlns:w="http://schemas.openxmlformats.org/wordprocessingml/2006/main">
  <w:divs>
    <w:div w:id="2003655036">
      <w:marLeft w:val="0"/>
      <w:marRight w:val="0"/>
      <w:marTop w:val="0"/>
      <w:marBottom w:val="0"/>
      <w:divBdr>
        <w:top w:val="none" w:sz="0" w:space="0" w:color="auto"/>
        <w:left w:val="none" w:sz="0" w:space="0" w:color="auto"/>
        <w:bottom w:val="none" w:sz="0" w:space="0" w:color="auto"/>
        <w:right w:val="none" w:sz="0" w:space="0" w:color="auto"/>
      </w:divBdr>
    </w:div>
    <w:div w:id="2003655038">
      <w:marLeft w:val="0"/>
      <w:marRight w:val="0"/>
      <w:marTop w:val="0"/>
      <w:marBottom w:val="0"/>
      <w:divBdr>
        <w:top w:val="none" w:sz="0" w:space="0" w:color="auto"/>
        <w:left w:val="none" w:sz="0" w:space="0" w:color="auto"/>
        <w:bottom w:val="none" w:sz="0" w:space="0" w:color="auto"/>
        <w:right w:val="none" w:sz="0" w:space="0" w:color="auto"/>
      </w:divBdr>
    </w:div>
    <w:div w:id="2003655039">
      <w:marLeft w:val="0"/>
      <w:marRight w:val="0"/>
      <w:marTop w:val="0"/>
      <w:marBottom w:val="0"/>
      <w:divBdr>
        <w:top w:val="none" w:sz="0" w:space="0" w:color="auto"/>
        <w:left w:val="none" w:sz="0" w:space="0" w:color="auto"/>
        <w:bottom w:val="none" w:sz="0" w:space="0" w:color="auto"/>
        <w:right w:val="none" w:sz="0" w:space="0" w:color="auto"/>
      </w:divBdr>
      <w:divsChild>
        <w:div w:id="2003655064">
          <w:marLeft w:val="0"/>
          <w:marRight w:val="0"/>
          <w:marTop w:val="0"/>
          <w:marBottom w:val="0"/>
          <w:divBdr>
            <w:top w:val="none" w:sz="0" w:space="0" w:color="auto"/>
            <w:left w:val="none" w:sz="0" w:space="0" w:color="auto"/>
            <w:bottom w:val="none" w:sz="0" w:space="0" w:color="auto"/>
            <w:right w:val="none" w:sz="0" w:space="0" w:color="auto"/>
          </w:divBdr>
          <w:divsChild>
            <w:div w:id="2003655052">
              <w:marLeft w:val="0"/>
              <w:marRight w:val="0"/>
              <w:marTop w:val="0"/>
              <w:marBottom w:val="0"/>
              <w:divBdr>
                <w:top w:val="none" w:sz="0" w:space="0" w:color="auto"/>
                <w:left w:val="none" w:sz="0" w:space="0" w:color="auto"/>
                <w:bottom w:val="none" w:sz="0" w:space="0" w:color="auto"/>
                <w:right w:val="none" w:sz="0" w:space="0" w:color="auto"/>
              </w:divBdr>
              <w:divsChild>
                <w:div w:id="2003655066">
                  <w:marLeft w:val="0"/>
                  <w:marRight w:val="0"/>
                  <w:marTop w:val="0"/>
                  <w:marBottom w:val="0"/>
                  <w:divBdr>
                    <w:top w:val="none" w:sz="0" w:space="0" w:color="auto"/>
                    <w:left w:val="none" w:sz="0" w:space="0" w:color="auto"/>
                    <w:bottom w:val="none" w:sz="0" w:space="0" w:color="auto"/>
                    <w:right w:val="none" w:sz="0" w:space="0" w:color="auto"/>
                  </w:divBdr>
                  <w:divsChild>
                    <w:div w:id="2003655035">
                      <w:marLeft w:val="0"/>
                      <w:marRight w:val="0"/>
                      <w:marTop w:val="0"/>
                      <w:marBottom w:val="0"/>
                      <w:divBdr>
                        <w:top w:val="none" w:sz="0" w:space="0" w:color="auto"/>
                        <w:left w:val="none" w:sz="0" w:space="0" w:color="auto"/>
                        <w:bottom w:val="none" w:sz="0" w:space="0" w:color="auto"/>
                        <w:right w:val="none" w:sz="0" w:space="0" w:color="auto"/>
                      </w:divBdr>
                      <w:divsChild>
                        <w:div w:id="2003655047">
                          <w:marLeft w:val="0"/>
                          <w:marRight w:val="0"/>
                          <w:marTop w:val="0"/>
                          <w:marBottom w:val="0"/>
                          <w:divBdr>
                            <w:top w:val="none" w:sz="0" w:space="0" w:color="auto"/>
                            <w:left w:val="none" w:sz="0" w:space="0" w:color="auto"/>
                            <w:bottom w:val="none" w:sz="0" w:space="0" w:color="auto"/>
                            <w:right w:val="none" w:sz="0" w:space="0" w:color="auto"/>
                          </w:divBdr>
                          <w:divsChild>
                            <w:div w:id="2003655059">
                              <w:marLeft w:val="0"/>
                              <w:marRight w:val="0"/>
                              <w:marTop w:val="0"/>
                              <w:marBottom w:val="0"/>
                              <w:divBdr>
                                <w:top w:val="none" w:sz="0" w:space="0" w:color="auto"/>
                                <w:left w:val="none" w:sz="0" w:space="0" w:color="auto"/>
                                <w:bottom w:val="none" w:sz="0" w:space="0" w:color="auto"/>
                                <w:right w:val="none" w:sz="0" w:space="0" w:color="auto"/>
                              </w:divBdr>
                              <w:divsChild>
                                <w:div w:id="2003655054">
                                  <w:marLeft w:val="0"/>
                                  <w:marRight w:val="0"/>
                                  <w:marTop w:val="0"/>
                                  <w:marBottom w:val="0"/>
                                  <w:divBdr>
                                    <w:top w:val="none" w:sz="0" w:space="0" w:color="auto"/>
                                    <w:left w:val="none" w:sz="0" w:space="0" w:color="auto"/>
                                    <w:bottom w:val="none" w:sz="0" w:space="0" w:color="auto"/>
                                    <w:right w:val="none" w:sz="0" w:space="0" w:color="auto"/>
                                  </w:divBdr>
                                  <w:divsChild>
                                    <w:div w:id="200365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655041">
      <w:marLeft w:val="0"/>
      <w:marRight w:val="0"/>
      <w:marTop w:val="0"/>
      <w:marBottom w:val="0"/>
      <w:divBdr>
        <w:top w:val="none" w:sz="0" w:space="0" w:color="auto"/>
        <w:left w:val="none" w:sz="0" w:space="0" w:color="auto"/>
        <w:bottom w:val="none" w:sz="0" w:space="0" w:color="auto"/>
        <w:right w:val="none" w:sz="0" w:space="0" w:color="auto"/>
      </w:divBdr>
    </w:div>
    <w:div w:id="2003655042">
      <w:marLeft w:val="0"/>
      <w:marRight w:val="0"/>
      <w:marTop w:val="0"/>
      <w:marBottom w:val="0"/>
      <w:divBdr>
        <w:top w:val="none" w:sz="0" w:space="0" w:color="auto"/>
        <w:left w:val="none" w:sz="0" w:space="0" w:color="auto"/>
        <w:bottom w:val="none" w:sz="0" w:space="0" w:color="auto"/>
        <w:right w:val="none" w:sz="0" w:space="0" w:color="auto"/>
      </w:divBdr>
    </w:div>
    <w:div w:id="2003655043">
      <w:marLeft w:val="0"/>
      <w:marRight w:val="0"/>
      <w:marTop w:val="0"/>
      <w:marBottom w:val="0"/>
      <w:divBdr>
        <w:top w:val="none" w:sz="0" w:space="0" w:color="auto"/>
        <w:left w:val="none" w:sz="0" w:space="0" w:color="auto"/>
        <w:bottom w:val="none" w:sz="0" w:space="0" w:color="auto"/>
        <w:right w:val="none" w:sz="0" w:space="0" w:color="auto"/>
      </w:divBdr>
      <w:divsChild>
        <w:div w:id="2003655077">
          <w:marLeft w:val="0"/>
          <w:marRight w:val="0"/>
          <w:marTop w:val="0"/>
          <w:marBottom w:val="0"/>
          <w:divBdr>
            <w:top w:val="none" w:sz="0" w:space="0" w:color="auto"/>
            <w:left w:val="none" w:sz="0" w:space="0" w:color="auto"/>
            <w:bottom w:val="none" w:sz="0" w:space="0" w:color="auto"/>
            <w:right w:val="none" w:sz="0" w:space="0" w:color="auto"/>
          </w:divBdr>
          <w:divsChild>
            <w:div w:id="2003655071">
              <w:marLeft w:val="0"/>
              <w:marRight w:val="0"/>
              <w:marTop w:val="0"/>
              <w:marBottom w:val="0"/>
              <w:divBdr>
                <w:top w:val="none" w:sz="0" w:space="0" w:color="auto"/>
                <w:left w:val="none" w:sz="0" w:space="0" w:color="auto"/>
                <w:bottom w:val="none" w:sz="0" w:space="0" w:color="auto"/>
                <w:right w:val="none" w:sz="0" w:space="0" w:color="auto"/>
              </w:divBdr>
              <w:divsChild>
                <w:div w:id="2003655037">
                  <w:marLeft w:val="0"/>
                  <w:marRight w:val="0"/>
                  <w:marTop w:val="0"/>
                  <w:marBottom w:val="0"/>
                  <w:divBdr>
                    <w:top w:val="none" w:sz="0" w:space="0" w:color="auto"/>
                    <w:left w:val="none" w:sz="0" w:space="0" w:color="auto"/>
                    <w:bottom w:val="none" w:sz="0" w:space="0" w:color="auto"/>
                    <w:right w:val="none" w:sz="0" w:space="0" w:color="auto"/>
                  </w:divBdr>
                  <w:divsChild>
                    <w:div w:id="2003655044">
                      <w:marLeft w:val="0"/>
                      <w:marRight w:val="0"/>
                      <w:marTop w:val="0"/>
                      <w:marBottom w:val="0"/>
                      <w:divBdr>
                        <w:top w:val="none" w:sz="0" w:space="0" w:color="auto"/>
                        <w:left w:val="none" w:sz="0" w:space="0" w:color="auto"/>
                        <w:bottom w:val="none" w:sz="0" w:space="0" w:color="auto"/>
                        <w:right w:val="none" w:sz="0" w:space="0" w:color="auto"/>
                      </w:divBdr>
                      <w:divsChild>
                        <w:div w:id="2003655034">
                          <w:marLeft w:val="0"/>
                          <w:marRight w:val="0"/>
                          <w:marTop w:val="0"/>
                          <w:marBottom w:val="0"/>
                          <w:divBdr>
                            <w:top w:val="none" w:sz="0" w:space="0" w:color="auto"/>
                            <w:left w:val="none" w:sz="0" w:space="0" w:color="auto"/>
                            <w:bottom w:val="none" w:sz="0" w:space="0" w:color="auto"/>
                            <w:right w:val="none" w:sz="0" w:space="0" w:color="auto"/>
                          </w:divBdr>
                          <w:divsChild>
                            <w:div w:id="2003655061">
                              <w:marLeft w:val="0"/>
                              <w:marRight w:val="0"/>
                              <w:marTop w:val="0"/>
                              <w:marBottom w:val="0"/>
                              <w:divBdr>
                                <w:top w:val="none" w:sz="0" w:space="0" w:color="auto"/>
                                <w:left w:val="none" w:sz="0" w:space="0" w:color="auto"/>
                                <w:bottom w:val="none" w:sz="0" w:space="0" w:color="auto"/>
                                <w:right w:val="none" w:sz="0" w:space="0" w:color="auto"/>
                              </w:divBdr>
                              <w:divsChild>
                                <w:div w:id="2003655069">
                                  <w:marLeft w:val="0"/>
                                  <w:marRight w:val="0"/>
                                  <w:marTop w:val="0"/>
                                  <w:marBottom w:val="0"/>
                                  <w:divBdr>
                                    <w:top w:val="none" w:sz="0" w:space="0" w:color="auto"/>
                                    <w:left w:val="none" w:sz="0" w:space="0" w:color="auto"/>
                                    <w:bottom w:val="none" w:sz="0" w:space="0" w:color="auto"/>
                                    <w:right w:val="none" w:sz="0" w:space="0" w:color="auto"/>
                                  </w:divBdr>
                                  <w:divsChild>
                                    <w:div w:id="200365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655045">
      <w:marLeft w:val="0"/>
      <w:marRight w:val="0"/>
      <w:marTop w:val="0"/>
      <w:marBottom w:val="0"/>
      <w:divBdr>
        <w:top w:val="none" w:sz="0" w:space="0" w:color="auto"/>
        <w:left w:val="none" w:sz="0" w:space="0" w:color="auto"/>
        <w:bottom w:val="none" w:sz="0" w:space="0" w:color="auto"/>
        <w:right w:val="none" w:sz="0" w:space="0" w:color="auto"/>
      </w:divBdr>
    </w:div>
    <w:div w:id="2003655049">
      <w:marLeft w:val="0"/>
      <w:marRight w:val="0"/>
      <w:marTop w:val="0"/>
      <w:marBottom w:val="0"/>
      <w:divBdr>
        <w:top w:val="none" w:sz="0" w:space="0" w:color="auto"/>
        <w:left w:val="none" w:sz="0" w:space="0" w:color="auto"/>
        <w:bottom w:val="none" w:sz="0" w:space="0" w:color="auto"/>
        <w:right w:val="none" w:sz="0" w:space="0" w:color="auto"/>
      </w:divBdr>
    </w:div>
    <w:div w:id="2003655050">
      <w:marLeft w:val="0"/>
      <w:marRight w:val="0"/>
      <w:marTop w:val="0"/>
      <w:marBottom w:val="0"/>
      <w:divBdr>
        <w:top w:val="none" w:sz="0" w:space="0" w:color="auto"/>
        <w:left w:val="none" w:sz="0" w:space="0" w:color="auto"/>
        <w:bottom w:val="none" w:sz="0" w:space="0" w:color="auto"/>
        <w:right w:val="none" w:sz="0" w:space="0" w:color="auto"/>
      </w:divBdr>
    </w:div>
    <w:div w:id="2003655051">
      <w:marLeft w:val="0"/>
      <w:marRight w:val="0"/>
      <w:marTop w:val="0"/>
      <w:marBottom w:val="0"/>
      <w:divBdr>
        <w:top w:val="none" w:sz="0" w:space="0" w:color="auto"/>
        <w:left w:val="none" w:sz="0" w:space="0" w:color="auto"/>
        <w:bottom w:val="none" w:sz="0" w:space="0" w:color="auto"/>
        <w:right w:val="none" w:sz="0" w:space="0" w:color="auto"/>
      </w:divBdr>
    </w:div>
    <w:div w:id="2003655053">
      <w:marLeft w:val="0"/>
      <w:marRight w:val="0"/>
      <w:marTop w:val="0"/>
      <w:marBottom w:val="0"/>
      <w:divBdr>
        <w:top w:val="none" w:sz="0" w:space="0" w:color="auto"/>
        <w:left w:val="none" w:sz="0" w:space="0" w:color="auto"/>
        <w:bottom w:val="none" w:sz="0" w:space="0" w:color="auto"/>
        <w:right w:val="none" w:sz="0" w:space="0" w:color="auto"/>
      </w:divBdr>
    </w:div>
    <w:div w:id="2003655057">
      <w:marLeft w:val="0"/>
      <w:marRight w:val="0"/>
      <w:marTop w:val="0"/>
      <w:marBottom w:val="0"/>
      <w:divBdr>
        <w:top w:val="none" w:sz="0" w:space="0" w:color="auto"/>
        <w:left w:val="none" w:sz="0" w:space="0" w:color="auto"/>
        <w:bottom w:val="none" w:sz="0" w:space="0" w:color="auto"/>
        <w:right w:val="none" w:sz="0" w:space="0" w:color="auto"/>
      </w:divBdr>
    </w:div>
    <w:div w:id="2003655058">
      <w:marLeft w:val="0"/>
      <w:marRight w:val="0"/>
      <w:marTop w:val="0"/>
      <w:marBottom w:val="0"/>
      <w:divBdr>
        <w:top w:val="none" w:sz="0" w:space="0" w:color="auto"/>
        <w:left w:val="none" w:sz="0" w:space="0" w:color="auto"/>
        <w:bottom w:val="none" w:sz="0" w:space="0" w:color="auto"/>
        <w:right w:val="none" w:sz="0" w:space="0" w:color="auto"/>
      </w:divBdr>
    </w:div>
    <w:div w:id="2003655063">
      <w:marLeft w:val="0"/>
      <w:marRight w:val="0"/>
      <w:marTop w:val="0"/>
      <w:marBottom w:val="0"/>
      <w:divBdr>
        <w:top w:val="none" w:sz="0" w:space="0" w:color="auto"/>
        <w:left w:val="none" w:sz="0" w:space="0" w:color="auto"/>
        <w:bottom w:val="none" w:sz="0" w:space="0" w:color="auto"/>
        <w:right w:val="none" w:sz="0" w:space="0" w:color="auto"/>
      </w:divBdr>
    </w:div>
    <w:div w:id="2003655065">
      <w:marLeft w:val="0"/>
      <w:marRight w:val="0"/>
      <w:marTop w:val="0"/>
      <w:marBottom w:val="0"/>
      <w:divBdr>
        <w:top w:val="none" w:sz="0" w:space="0" w:color="auto"/>
        <w:left w:val="none" w:sz="0" w:space="0" w:color="auto"/>
        <w:bottom w:val="none" w:sz="0" w:space="0" w:color="auto"/>
        <w:right w:val="none" w:sz="0" w:space="0" w:color="auto"/>
      </w:divBdr>
    </w:div>
    <w:div w:id="2003655067">
      <w:marLeft w:val="0"/>
      <w:marRight w:val="0"/>
      <w:marTop w:val="0"/>
      <w:marBottom w:val="0"/>
      <w:divBdr>
        <w:top w:val="none" w:sz="0" w:space="0" w:color="auto"/>
        <w:left w:val="none" w:sz="0" w:space="0" w:color="auto"/>
        <w:bottom w:val="none" w:sz="0" w:space="0" w:color="auto"/>
        <w:right w:val="none" w:sz="0" w:space="0" w:color="auto"/>
      </w:divBdr>
    </w:div>
    <w:div w:id="2003655070">
      <w:marLeft w:val="0"/>
      <w:marRight w:val="0"/>
      <w:marTop w:val="0"/>
      <w:marBottom w:val="0"/>
      <w:divBdr>
        <w:top w:val="none" w:sz="0" w:space="0" w:color="auto"/>
        <w:left w:val="none" w:sz="0" w:space="0" w:color="auto"/>
        <w:bottom w:val="none" w:sz="0" w:space="0" w:color="auto"/>
        <w:right w:val="none" w:sz="0" w:space="0" w:color="auto"/>
      </w:divBdr>
    </w:div>
    <w:div w:id="2003655073">
      <w:marLeft w:val="0"/>
      <w:marRight w:val="0"/>
      <w:marTop w:val="0"/>
      <w:marBottom w:val="0"/>
      <w:divBdr>
        <w:top w:val="none" w:sz="0" w:space="0" w:color="auto"/>
        <w:left w:val="none" w:sz="0" w:space="0" w:color="auto"/>
        <w:bottom w:val="none" w:sz="0" w:space="0" w:color="auto"/>
        <w:right w:val="none" w:sz="0" w:space="0" w:color="auto"/>
      </w:divBdr>
    </w:div>
    <w:div w:id="2003655074">
      <w:marLeft w:val="0"/>
      <w:marRight w:val="0"/>
      <w:marTop w:val="0"/>
      <w:marBottom w:val="0"/>
      <w:divBdr>
        <w:top w:val="none" w:sz="0" w:space="0" w:color="auto"/>
        <w:left w:val="none" w:sz="0" w:space="0" w:color="auto"/>
        <w:bottom w:val="none" w:sz="0" w:space="0" w:color="auto"/>
        <w:right w:val="none" w:sz="0" w:space="0" w:color="auto"/>
      </w:divBdr>
      <w:divsChild>
        <w:div w:id="2003655056">
          <w:marLeft w:val="0"/>
          <w:marRight w:val="0"/>
          <w:marTop w:val="0"/>
          <w:marBottom w:val="0"/>
          <w:divBdr>
            <w:top w:val="none" w:sz="0" w:space="0" w:color="auto"/>
            <w:left w:val="none" w:sz="0" w:space="0" w:color="auto"/>
            <w:bottom w:val="none" w:sz="0" w:space="0" w:color="auto"/>
            <w:right w:val="none" w:sz="0" w:space="0" w:color="auto"/>
          </w:divBdr>
          <w:divsChild>
            <w:div w:id="2003655046">
              <w:marLeft w:val="0"/>
              <w:marRight w:val="0"/>
              <w:marTop w:val="0"/>
              <w:marBottom w:val="0"/>
              <w:divBdr>
                <w:top w:val="none" w:sz="0" w:space="0" w:color="auto"/>
                <w:left w:val="none" w:sz="0" w:space="0" w:color="auto"/>
                <w:bottom w:val="none" w:sz="0" w:space="0" w:color="auto"/>
                <w:right w:val="none" w:sz="0" w:space="0" w:color="auto"/>
              </w:divBdr>
              <w:divsChild>
                <w:div w:id="2003655040">
                  <w:marLeft w:val="0"/>
                  <w:marRight w:val="0"/>
                  <w:marTop w:val="0"/>
                  <w:marBottom w:val="0"/>
                  <w:divBdr>
                    <w:top w:val="none" w:sz="0" w:space="0" w:color="auto"/>
                    <w:left w:val="none" w:sz="0" w:space="0" w:color="auto"/>
                    <w:bottom w:val="none" w:sz="0" w:space="0" w:color="auto"/>
                    <w:right w:val="none" w:sz="0" w:space="0" w:color="auto"/>
                  </w:divBdr>
                  <w:divsChild>
                    <w:div w:id="2003655068">
                      <w:marLeft w:val="0"/>
                      <w:marRight w:val="0"/>
                      <w:marTop w:val="0"/>
                      <w:marBottom w:val="0"/>
                      <w:divBdr>
                        <w:top w:val="none" w:sz="0" w:space="0" w:color="auto"/>
                        <w:left w:val="none" w:sz="0" w:space="0" w:color="auto"/>
                        <w:bottom w:val="none" w:sz="0" w:space="0" w:color="auto"/>
                        <w:right w:val="none" w:sz="0" w:space="0" w:color="auto"/>
                      </w:divBdr>
                      <w:divsChild>
                        <w:div w:id="2003655062">
                          <w:marLeft w:val="0"/>
                          <w:marRight w:val="0"/>
                          <w:marTop w:val="0"/>
                          <w:marBottom w:val="0"/>
                          <w:divBdr>
                            <w:top w:val="none" w:sz="0" w:space="0" w:color="auto"/>
                            <w:left w:val="none" w:sz="0" w:space="0" w:color="auto"/>
                            <w:bottom w:val="none" w:sz="0" w:space="0" w:color="auto"/>
                            <w:right w:val="none" w:sz="0" w:space="0" w:color="auto"/>
                          </w:divBdr>
                          <w:divsChild>
                            <w:div w:id="2003655072">
                              <w:marLeft w:val="0"/>
                              <w:marRight w:val="0"/>
                              <w:marTop w:val="0"/>
                              <w:marBottom w:val="0"/>
                              <w:divBdr>
                                <w:top w:val="none" w:sz="0" w:space="0" w:color="auto"/>
                                <w:left w:val="none" w:sz="0" w:space="0" w:color="auto"/>
                                <w:bottom w:val="none" w:sz="0" w:space="0" w:color="auto"/>
                                <w:right w:val="none" w:sz="0" w:space="0" w:color="auto"/>
                              </w:divBdr>
                              <w:divsChild>
                                <w:div w:id="2003655076">
                                  <w:marLeft w:val="0"/>
                                  <w:marRight w:val="0"/>
                                  <w:marTop w:val="0"/>
                                  <w:marBottom w:val="0"/>
                                  <w:divBdr>
                                    <w:top w:val="none" w:sz="0" w:space="0" w:color="auto"/>
                                    <w:left w:val="none" w:sz="0" w:space="0" w:color="auto"/>
                                    <w:bottom w:val="none" w:sz="0" w:space="0" w:color="auto"/>
                                    <w:right w:val="none" w:sz="0" w:space="0" w:color="auto"/>
                                  </w:divBdr>
                                  <w:divsChild>
                                    <w:div w:id="200365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655075">
      <w:marLeft w:val="0"/>
      <w:marRight w:val="0"/>
      <w:marTop w:val="0"/>
      <w:marBottom w:val="0"/>
      <w:divBdr>
        <w:top w:val="none" w:sz="0" w:space="0" w:color="auto"/>
        <w:left w:val="none" w:sz="0" w:space="0" w:color="auto"/>
        <w:bottom w:val="none" w:sz="0" w:space="0" w:color="auto"/>
        <w:right w:val="none" w:sz="0" w:space="0" w:color="auto"/>
      </w:divBdr>
    </w:div>
    <w:div w:id="20036550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5</Pages>
  <Words>10110</Words>
  <Characters>5763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24</cp:revision>
  <dcterms:created xsi:type="dcterms:W3CDTF">2025-05-31T13:58:00Z</dcterms:created>
  <dcterms:modified xsi:type="dcterms:W3CDTF">2025-06-19T17:24:00Z</dcterms:modified>
</cp:coreProperties>
</file>