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D9E" w:rsidRPr="0087128E" w:rsidRDefault="00C73D9E" w:rsidP="0087128E">
      <w:pPr>
        <w:pStyle w:val="NoSpacing"/>
        <w:jc w:val="right"/>
        <w:rPr>
          <w:rFonts w:ascii="Times New Roman" w:hAnsi="Times New Roman"/>
          <w:b/>
          <w:bCs/>
          <w:sz w:val="24"/>
          <w:szCs w:val="24"/>
          <w:lang w:val="en-US" w:eastAsia="ru-RU"/>
        </w:rPr>
      </w:pPr>
      <w:r w:rsidRPr="0087128E">
        <w:rPr>
          <w:rFonts w:ascii="Times New Roman" w:hAnsi="Times New Roman"/>
          <w:b/>
          <w:bCs/>
          <w:sz w:val="24"/>
          <w:szCs w:val="24"/>
          <w:lang w:val="en-US" w:eastAsia="ru-RU"/>
        </w:rPr>
        <w:t>Ulzhalgas Adilbayeva</w:t>
      </w:r>
    </w:p>
    <w:p w:rsidR="00C73D9E" w:rsidRPr="0087128E" w:rsidRDefault="00C73D9E" w:rsidP="0087128E">
      <w:pPr>
        <w:pStyle w:val="NoSpacing"/>
        <w:jc w:val="right"/>
        <w:rPr>
          <w:rStyle w:val="Strong"/>
          <w:rFonts w:ascii="Times New Roman" w:hAnsi="Times New Roman"/>
          <w:sz w:val="23"/>
          <w:szCs w:val="23"/>
          <w:bdr w:val="none" w:sz="0" w:space="0" w:color="auto" w:frame="1"/>
          <w:shd w:val="clear" w:color="auto" w:fill="FFFFFF"/>
          <w:lang w:val="en-US"/>
        </w:rPr>
      </w:pPr>
      <w:r w:rsidRPr="0087128E">
        <w:rPr>
          <w:rStyle w:val="Strong"/>
          <w:rFonts w:ascii="Times New Roman" w:hAnsi="Times New Roman"/>
          <w:sz w:val="23"/>
          <w:szCs w:val="23"/>
          <w:bdr w:val="none" w:sz="0" w:space="0" w:color="auto" w:frame="1"/>
          <w:shd w:val="clear" w:color="auto" w:fill="FFFFFF"/>
          <w:lang w:val="kk-KZ"/>
        </w:rPr>
        <w:t>ALT University</w:t>
      </w:r>
      <w:r w:rsidRPr="0087128E">
        <w:rPr>
          <w:rStyle w:val="Strong"/>
          <w:rFonts w:ascii="Times New Roman" w:hAnsi="Times New Roman"/>
          <w:sz w:val="23"/>
          <w:szCs w:val="23"/>
          <w:bdr w:val="none" w:sz="0" w:space="0" w:color="auto" w:frame="1"/>
          <w:shd w:val="clear" w:color="auto" w:fill="FFFFFF"/>
          <w:lang w:val="en-US"/>
        </w:rPr>
        <w:t xml:space="preserve"> Tynyshbayev</w:t>
      </w:r>
    </w:p>
    <w:p w:rsidR="00C73D9E" w:rsidRPr="0087128E" w:rsidRDefault="00C73D9E" w:rsidP="0087128E">
      <w:pPr>
        <w:pStyle w:val="NoSpacing"/>
        <w:jc w:val="right"/>
        <w:rPr>
          <w:rFonts w:ascii="Times New Roman" w:hAnsi="Times New Roman"/>
          <w:b/>
          <w:bCs/>
          <w:sz w:val="24"/>
          <w:szCs w:val="24"/>
          <w:lang w:val="en-US" w:eastAsia="ru-RU"/>
        </w:rPr>
      </w:pPr>
    </w:p>
    <w:p w:rsidR="00C73D9E" w:rsidRPr="0087128E" w:rsidRDefault="00C73D9E" w:rsidP="0087128E">
      <w:pPr>
        <w:pStyle w:val="NoSpacing"/>
        <w:jc w:val="right"/>
        <w:rPr>
          <w:rFonts w:ascii="Times New Roman" w:hAnsi="Times New Roman"/>
          <w:b/>
          <w:bCs/>
          <w:sz w:val="24"/>
          <w:szCs w:val="24"/>
          <w:lang w:val="en-US" w:eastAsia="ru-RU"/>
        </w:rPr>
      </w:pPr>
      <w:r w:rsidRPr="0087128E">
        <w:rPr>
          <w:rFonts w:ascii="Times New Roman" w:hAnsi="Times New Roman"/>
          <w:b/>
          <w:bCs/>
          <w:sz w:val="24"/>
          <w:szCs w:val="24"/>
          <w:lang w:val="en-US" w:eastAsia="ru-RU"/>
        </w:rPr>
        <w:t>Serikkhan Sadykanova</w:t>
      </w:r>
    </w:p>
    <w:p w:rsidR="00C73D9E" w:rsidRPr="0087128E" w:rsidRDefault="00C73D9E" w:rsidP="0087128E">
      <w:pPr>
        <w:pStyle w:val="NoSpacing"/>
        <w:jc w:val="right"/>
        <w:rPr>
          <w:rFonts w:ascii="Times New Roman" w:hAnsi="Times New Roman"/>
          <w:b/>
          <w:bCs/>
          <w:sz w:val="24"/>
          <w:szCs w:val="24"/>
          <w:lang w:val="en-US" w:eastAsia="ru-RU"/>
        </w:rPr>
      </w:pPr>
      <w:r w:rsidRPr="0087128E">
        <w:rPr>
          <w:rFonts w:ascii="Times New Roman" w:hAnsi="Times New Roman"/>
          <w:b/>
          <w:bCs/>
          <w:sz w:val="24"/>
          <w:szCs w:val="24"/>
          <w:lang w:val="en-US" w:eastAsia="ru-RU"/>
        </w:rPr>
        <w:t>International Educational Corporation</w:t>
      </w:r>
    </w:p>
    <w:p w:rsidR="00C73D9E" w:rsidRPr="0087128E" w:rsidRDefault="00C73D9E" w:rsidP="0087128E">
      <w:pPr>
        <w:pStyle w:val="NoSpacing"/>
        <w:jc w:val="right"/>
        <w:rPr>
          <w:rFonts w:ascii="Times New Roman" w:hAnsi="Times New Roman"/>
          <w:b/>
          <w:bCs/>
          <w:sz w:val="24"/>
          <w:szCs w:val="24"/>
          <w:lang w:val="en-US" w:eastAsia="ru-RU"/>
        </w:rPr>
      </w:pPr>
    </w:p>
    <w:p w:rsidR="00C73D9E" w:rsidRPr="0087128E" w:rsidRDefault="00C73D9E" w:rsidP="0087128E">
      <w:pPr>
        <w:pStyle w:val="NoSpacing"/>
        <w:jc w:val="right"/>
        <w:rPr>
          <w:rFonts w:ascii="Times New Roman" w:hAnsi="Times New Roman"/>
          <w:b/>
          <w:sz w:val="24"/>
          <w:szCs w:val="24"/>
          <w:lang w:val="kk-KZ" w:eastAsia="ru-RU"/>
        </w:rPr>
      </w:pPr>
      <w:r w:rsidRPr="0087128E">
        <w:rPr>
          <w:rFonts w:ascii="Times New Roman" w:hAnsi="Times New Roman"/>
          <w:b/>
          <w:sz w:val="24"/>
          <w:szCs w:val="24"/>
          <w:lang w:val="kk-KZ" w:eastAsia="ru-RU"/>
        </w:rPr>
        <w:t>Ulzhalgas Temirova</w:t>
      </w:r>
    </w:p>
    <w:p w:rsidR="00C73D9E" w:rsidRPr="0087128E" w:rsidRDefault="00C73D9E" w:rsidP="0087128E">
      <w:pPr>
        <w:pStyle w:val="NoSpacing"/>
        <w:jc w:val="right"/>
        <w:rPr>
          <w:rFonts w:ascii="Times New Roman" w:hAnsi="Times New Roman"/>
          <w:b/>
          <w:sz w:val="24"/>
          <w:szCs w:val="24"/>
          <w:lang w:val="kk-KZ" w:eastAsia="ru-RU"/>
        </w:rPr>
      </w:pPr>
      <w:r w:rsidRPr="0087128E">
        <w:rPr>
          <w:rFonts w:ascii="Times New Roman" w:hAnsi="Times New Roman"/>
          <w:b/>
          <w:sz w:val="24"/>
          <w:szCs w:val="24"/>
          <w:lang w:val="kk-KZ" w:eastAsia="ru-RU"/>
        </w:rPr>
        <w:t>M. Auezov South Kazakhstan University</w:t>
      </w:r>
    </w:p>
    <w:p w:rsidR="00C73D9E" w:rsidRPr="0087128E" w:rsidRDefault="00C73D9E" w:rsidP="0087128E">
      <w:pPr>
        <w:pStyle w:val="NoSpacing"/>
        <w:jc w:val="right"/>
        <w:rPr>
          <w:rFonts w:ascii="Times New Roman" w:hAnsi="Times New Roman"/>
          <w:b/>
          <w:sz w:val="24"/>
          <w:szCs w:val="24"/>
          <w:lang w:val="kk-KZ" w:eastAsia="ru-RU"/>
        </w:rPr>
      </w:pPr>
      <w:bookmarkStart w:id="0" w:name="_GoBack"/>
      <w:bookmarkEnd w:id="0"/>
    </w:p>
    <w:p w:rsidR="00C73D9E" w:rsidRPr="0087128E" w:rsidRDefault="00C73D9E" w:rsidP="0087128E">
      <w:pPr>
        <w:pStyle w:val="NoSpacing"/>
        <w:jc w:val="right"/>
        <w:rPr>
          <w:rFonts w:ascii="Times New Roman" w:hAnsi="Times New Roman"/>
          <w:b/>
          <w:sz w:val="24"/>
          <w:szCs w:val="24"/>
          <w:lang w:val="kk-KZ" w:eastAsia="ru-RU"/>
        </w:rPr>
      </w:pPr>
      <w:r w:rsidRPr="0087128E">
        <w:rPr>
          <w:rFonts w:ascii="Times New Roman" w:hAnsi="Times New Roman"/>
          <w:b/>
          <w:sz w:val="24"/>
          <w:szCs w:val="24"/>
          <w:lang w:val="kk-KZ" w:eastAsia="ru-RU"/>
        </w:rPr>
        <w:t>Jamila Riskeldieva</w:t>
      </w:r>
    </w:p>
    <w:p w:rsidR="00C73D9E" w:rsidRPr="0087128E" w:rsidRDefault="00C73D9E" w:rsidP="0087128E">
      <w:pPr>
        <w:pStyle w:val="NoSpacing"/>
        <w:jc w:val="right"/>
        <w:rPr>
          <w:rFonts w:ascii="Times New Roman" w:hAnsi="Times New Roman"/>
          <w:b/>
          <w:sz w:val="24"/>
          <w:szCs w:val="24"/>
          <w:lang w:val="kk-KZ" w:eastAsia="ru-RU"/>
        </w:rPr>
      </w:pPr>
      <w:r w:rsidRPr="0087128E">
        <w:rPr>
          <w:rFonts w:ascii="Times New Roman" w:hAnsi="Times New Roman"/>
          <w:b/>
          <w:sz w:val="24"/>
          <w:szCs w:val="24"/>
          <w:lang w:val="kk-KZ" w:eastAsia="ru-RU"/>
        </w:rPr>
        <w:t>M. Auezov South Kazakhstan University</w:t>
      </w:r>
    </w:p>
    <w:p w:rsidR="00C73D9E" w:rsidRPr="0087128E" w:rsidRDefault="00C73D9E" w:rsidP="0087128E">
      <w:pPr>
        <w:pStyle w:val="NoSpacing"/>
        <w:jc w:val="right"/>
        <w:rPr>
          <w:rFonts w:ascii="Times New Roman" w:hAnsi="Times New Roman"/>
          <w:b/>
          <w:bCs/>
          <w:sz w:val="24"/>
          <w:szCs w:val="24"/>
          <w:lang w:val="kk-KZ" w:eastAsia="ru-RU"/>
        </w:rPr>
      </w:pPr>
    </w:p>
    <w:p w:rsidR="00C73D9E" w:rsidRPr="0087128E" w:rsidRDefault="00C73D9E" w:rsidP="0087128E">
      <w:pPr>
        <w:pStyle w:val="NoSpacing"/>
        <w:jc w:val="right"/>
        <w:rPr>
          <w:rFonts w:ascii="Times New Roman" w:hAnsi="Times New Roman"/>
          <w:b/>
          <w:bCs/>
          <w:sz w:val="24"/>
          <w:szCs w:val="24"/>
          <w:lang w:val="en-US" w:eastAsia="ru-RU"/>
        </w:rPr>
      </w:pPr>
      <w:r w:rsidRPr="0087128E">
        <w:rPr>
          <w:rFonts w:ascii="Times New Roman" w:hAnsi="Times New Roman"/>
          <w:b/>
          <w:bCs/>
          <w:sz w:val="24"/>
          <w:szCs w:val="24"/>
          <w:lang w:val="en-US" w:eastAsia="ru-RU"/>
        </w:rPr>
        <w:t>Aliya</w:t>
      </w:r>
      <w:r w:rsidRPr="0087128E">
        <w:rPr>
          <w:rFonts w:ascii="Times New Roman" w:hAnsi="Times New Roman"/>
          <w:b/>
          <w:i/>
          <w:sz w:val="24"/>
          <w:szCs w:val="24"/>
          <w:lang w:val="en-US"/>
        </w:rPr>
        <w:t xml:space="preserve"> </w:t>
      </w:r>
      <w:r w:rsidRPr="0087128E">
        <w:rPr>
          <w:rFonts w:ascii="Times New Roman" w:hAnsi="Times New Roman"/>
          <w:b/>
          <w:bCs/>
          <w:sz w:val="24"/>
          <w:szCs w:val="24"/>
          <w:lang w:val="en-US" w:eastAsia="ru-RU"/>
        </w:rPr>
        <w:t>Zhakupova</w:t>
      </w:r>
    </w:p>
    <w:p w:rsidR="00C73D9E" w:rsidRPr="0087128E" w:rsidRDefault="00C73D9E" w:rsidP="0087128E">
      <w:pPr>
        <w:pStyle w:val="NoSpacing"/>
        <w:jc w:val="right"/>
        <w:rPr>
          <w:rFonts w:ascii="Times New Roman" w:hAnsi="Times New Roman"/>
          <w:b/>
          <w:bCs/>
          <w:sz w:val="24"/>
          <w:szCs w:val="24"/>
          <w:lang w:val="en-US" w:eastAsia="ru-RU"/>
        </w:rPr>
      </w:pPr>
      <w:r w:rsidRPr="0087128E">
        <w:rPr>
          <w:rFonts w:ascii="Times New Roman" w:hAnsi="Times New Roman"/>
          <w:b/>
          <w:bCs/>
          <w:sz w:val="24"/>
          <w:szCs w:val="24"/>
          <w:lang w:val="en-US" w:eastAsia="ru-RU"/>
        </w:rPr>
        <w:t>International Educational Corporation</w:t>
      </w:r>
    </w:p>
    <w:p w:rsidR="00C73D9E" w:rsidRPr="00911ED3" w:rsidRDefault="00C73D9E" w:rsidP="0087128E">
      <w:pPr>
        <w:pStyle w:val="NoSpacing"/>
        <w:jc w:val="center"/>
        <w:rPr>
          <w:rFonts w:ascii="Times New Roman" w:hAnsi="Times New Roman"/>
          <w:bCs/>
          <w:sz w:val="24"/>
          <w:szCs w:val="24"/>
          <w:lang w:val="en-US" w:eastAsia="ru-RU"/>
        </w:rPr>
      </w:pPr>
    </w:p>
    <w:p w:rsidR="00C73D9E" w:rsidRDefault="00C73D9E" w:rsidP="00916B37">
      <w:pPr>
        <w:pStyle w:val="NoSpacing"/>
        <w:jc w:val="center"/>
        <w:rPr>
          <w:rFonts w:ascii="Times New Roman" w:hAnsi="Times New Roman"/>
          <w:b/>
          <w:sz w:val="28"/>
          <w:szCs w:val="28"/>
          <w:lang w:val="kk-KZ" w:eastAsia="ru-RU"/>
        </w:rPr>
      </w:pPr>
      <w:r w:rsidRPr="00916B37">
        <w:rPr>
          <w:rFonts w:ascii="Times New Roman" w:hAnsi="Times New Roman"/>
          <w:b/>
          <w:sz w:val="28"/>
          <w:szCs w:val="28"/>
          <w:lang w:val="en-US" w:eastAsia="ru-RU"/>
        </w:rPr>
        <w:t>INNOVATIVE APPROACHES TO FOREIGN LANGUAGE TEACHING IN TECHNICAL UNIVERSITIES</w:t>
      </w:r>
    </w:p>
    <w:p w:rsidR="00C73D9E" w:rsidRDefault="00C73D9E" w:rsidP="00086896">
      <w:pPr>
        <w:pStyle w:val="NoSpacing"/>
        <w:jc w:val="center"/>
        <w:rPr>
          <w:rFonts w:ascii="Times New Roman" w:hAnsi="Times New Roman"/>
          <w:bCs/>
          <w:sz w:val="24"/>
          <w:szCs w:val="24"/>
          <w:lang w:val="en-US" w:eastAsia="ru-RU"/>
        </w:rPr>
      </w:pPr>
    </w:p>
    <w:p w:rsidR="00C73D9E" w:rsidRDefault="00C73D9E" w:rsidP="00916B37">
      <w:pPr>
        <w:pStyle w:val="NoSpacing"/>
        <w:jc w:val="center"/>
        <w:rPr>
          <w:rFonts w:ascii="Times New Roman" w:hAnsi="Times New Roman"/>
          <w:b/>
          <w:sz w:val="28"/>
          <w:szCs w:val="28"/>
          <w:lang w:val="kk-KZ" w:eastAsia="ru-RU"/>
        </w:rPr>
      </w:pPr>
    </w:p>
    <w:p w:rsidR="00C73D9E" w:rsidRPr="00E43BFA" w:rsidRDefault="00C73D9E" w:rsidP="00E43BFA">
      <w:pPr>
        <w:pStyle w:val="NoSpacing"/>
        <w:jc w:val="both"/>
        <w:rPr>
          <w:rFonts w:ascii="Times New Roman" w:hAnsi="Times New Roman"/>
          <w:sz w:val="24"/>
          <w:szCs w:val="24"/>
          <w:lang w:val="en-US" w:eastAsia="ru-RU"/>
        </w:rPr>
      </w:pPr>
    </w:p>
    <w:p w:rsidR="00C73D9E" w:rsidRDefault="00C73D9E" w:rsidP="00E43BFA">
      <w:pPr>
        <w:pStyle w:val="NoSpacing"/>
        <w:jc w:val="both"/>
        <w:rPr>
          <w:rStyle w:val="Strong"/>
          <w:rFonts w:ascii="Times New Roman" w:hAnsi="Times New Roman"/>
          <w:sz w:val="28"/>
          <w:szCs w:val="28"/>
          <w:lang w:val="en-US"/>
        </w:rPr>
      </w:pPr>
      <w:r w:rsidRPr="00916B37">
        <w:rPr>
          <w:rStyle w:val="Strong"/>
          <w:rFonts w:ascii="Times New Roman" w:hAnsi="Times New Roman"/>
          <w:sz w:val="28"/>
          <w:szCs w:val="28"/>
          <w:lang w:val="en-US"/>
        </w:rPr>
        <w:t>Introduction</w:t>
      </w:r>
    </w:p>
    <w:p w:rsidR="00C73D9E" w:rsidRPr="00E43BFA" w:rsidRDefault="00C73D9E" w:rsidP="00916B37">
      <w:pPr>
        <w:pStyle w:val="NoSpacing"/>
        <w:ind w:firstLine="708"/>
        <w:jc w:val="both"/>
        <w:rPr>
          <w:rFonts w:ascii="Times New Roman" w:hAnsi="Times New Roman"/>
          <w:sz w:val="24"/>
          <w:szCs w:val="24"/>
          <w:lang w:val="en-US"/>
        </w:rPr>
      </w:pPr>
      <w:r w:rsidRPr="00E43BFA">
        <w:rPr>
          <w:rFonts w:ascii="Times New Roman" w:hAnsi="Times New Roman"/>
          <w:sz w:val="24"/>
          <w:szCs w:val="24"/>
          <w:lang w:val="en-US"/>
        </w:rPr>
        <w:t>Higher education today is undergoing profound transformations driven by rapid technological progress, widespread digitalization, globalization, and the changing demands of the labor market. These shifts necessitate a reconsideration of the role of foreign language instruction, particularly within technical universities</w:t>
      </w:r>
      <w:r w:rsidRPr="00E43BFA">
        <w:rPr>
          <w:rFonts w:ascii="Times New Roman" w:hAnsi="Times New Roman"/>
          <w:sz w:val="24"/>
          <w:szCs w:val="24"/>
          <w:lang w:val="en-US" w:eastAsia="ru-RU"/>
        </w:rPr>
        <w:t>[1</w:t>
      </w:r>
      <w:r w:rsidRPr="00406B8E">
        <w:rPr>
          <w:rFonts w:ascii="Times New Roman" w:hAnsi="Times New Roman"/>
          <w:sz w:val="24"/>
          <w:szCs w:val="24"/>
          <w:lang w:val="en-US" w:eastAsia="ru-RU"/>
        </w:rPr>
        <w:t>,2</w:t>
      </w:r>
      <w:r w:rsidRPr="00E43BFA">
        <w:rPr>
          <w:rFonts w:ascii="Times New Roman" w:hAnsi="Times New Roman"/>
          <w:sz w:val="24"/>
          <w:szCs w:val="24"/>
          <w:lang w:val="en-US" w:eastAsia="ru-RU"/>
        </w:rPr>
        <w:t>]</w:t>
      </w:r>
      <w:r w:rsidRPr="00E43BFA">
        <w:rPr>
          <w:rFonts w:ascii="Times New Roman" w:hAnsi="Times New Roman"/>
          <w:sz w:val="24"/>
          <w:szCs w:val="24"/>
          <w:lang w:val="en-US"/>
        </w:rPr>
        <w:t>. In this context, foreign language proficiency—especially in English—is no longer viewed merely as an ancillary skill, but as a key competence that enables access to international knowledge, professional discourse, and cross-cultural collaboration</w:t>
      </w:r>
      <w:r w:rsidRPr="00E43BFA">
        <w:rPr>
          <w:rFonts w:ascii="Times New Roman" w:hAnsi="Times New Roman"/>
          <w:sz w:val="24"/>
          <w:szCs w:val="24"/>
          <w:lang w:val="en-US" w:eastAsia="ru-RU"/>
        </w:rPr>
        <w:t>[</w:t>
      </w:r>
      <w:r w:rsidRPr="00406B8E">
        <w:rPr>
          <w:rFonts w:ascii="Times New Roman" w:hAnsi="Times New Roman"/>
          <w:sz w:val="24"/>
          <w:szCs w:val="24"/>
          <w:lang w:val="en-US" w:eastAsia="ru-RU"/>
        </w:rPr>
        <w:t>3</w:t>
      </w:r>
      <w:r w:rsidRPr="00E43BFA">
        <w:rPr>
          <w:rFonts w:ascii="Times New Roman" w:hAnsi="Times New Roman"/>
          <w:sz w:val="24"/>
          <w:szCs w:val="24"/>
          <w:lang w:val="en-US" w:eastAsia="ru-RU"/>
        </w:rPr>
        <w:t>]</w:t>
      </w:r>
      <w:r w:rsidRPr="00E43BFA">
        <w:rPr>
          <w:rFonts w:ascii="Times New Roman" w:hAnsi="Times New Roman"/>
          <w:sz w:val="24"/>
          <w:szCs w:val="24"/>
          <w:lang w:val="en-US"/>
        </w:rPr>
        <w:t>.</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Technical specialists such as engineers, IT professionals, and researchers are increasingly required to engage with global scientific communities, participate in international projects, and stay abreast of innovations through non-native language resources</w:t>
      </w:r>
      <w:r w:rsidRPr="00E43BFA">
        <w:rPr>
          <w:rFonts w:ascii="Times New Roman" w:hAnsi="Times New Roman"/>
          <w:sz w:val="24"/>
          <w:szCs w:val="24"/>
          <w:lang w:val="en-US" w:eastAsia="ru-RU"/>
        </w:rPr>
        <w:t>[</w:t>
      </w:r>
      <w:r w:rsidRPr="00406B8E">
        <w:rPr>
          <w:rFonts w:ascii="Times New Roman" w:hAnsi="Times New Roman"/>
          <w:sz w:val="24"/>
          <w:szCs w:val="24"/>
          <w:lang w:val="en-US" w:eastAsia="ru-RU"/>
        </w:rPr>
        <w:t>4,5</w:t>
      </w:r>
      <w:r w:rsidRPr="00E43BFA">
        <w:rPr>
          <w:rFonts w:ascii="Times New Roman" w:hAnsi="Times New Roman"/>
          <w:sz w:val="24"/>
          <w:szCs w:val="24"/>
          <w:lang w:val="en-US" w:eastAsia="ru-RU"/>
        </w:rPr>
        <w:t>]</w:t>
      </w:r>
      <w:r w:rsidRPr="00E43BFA">
        <w:rPr>
          <w:rFonts w:ascii="Times New Roman" w:hAnsi="Times New Roman"/>
          <w:sz w:val="24"/>
          <w:szCs w:val="24"/>
          <w:lang w:val="en-US"/>
        </w:rPr>
        <w:t>. However, the prevailing language teaching models in many institutions remain outdated, heavily reliant on grammar-translation methods and rote learning, which fail to address the practical and communicative needs of modern students.</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Moreover, there exists a critical gap between traditional instructional methods and the digital-native nature of today’s learners, whose expectations and learning preferences are shaped by continuous exposure to technology and interactivity. This disconnect often results in low student motivation, poor engagement, and insufficient communicative proficiency. Hence, reimagining language education in technical institutions becomes a pressing priority</w:t>
      </w:r>
      <w:r w:rsidRPr="00E43BFA">
        <w:rPr>
          <w:rFonts w:ascii="Times New Roman" w:hAnsi="Times New Roman"/>
          <w:sz w:val="24"/>
          <w:szCs w:val="24"/>
          <w:lang w:val="en-US" w:eastAsia="ru-RU"/>
        </w:rPr>
        <w:t>[</w:t>
      </w:r>
      <w:r w:rsidRPr="00406B8E">
        <w:rPr>
          <w:rFonts w:ascii="Times New Roman" w:hAnsi="Times New Roman"/>
          <w:sz w:val="24"/>
          <w:szCs w:val="24"/>
          <w:lang w:val="en-US" w:eastAsia="ru-RU"/>
        </w:rPr>
        <w:t>6</w:t>
      </w:r>
      <w:r w:rsidRPr="00E43BFA">
        <w:rPr>
          <w:rFonts w:ascii="Times New Roman" w:hAnsi="Times New Roman"/>
          <w:sz w:val="24"/>
          <w:szCs w:val="24"/>
          <w:lang w:val="en-US" w:eastAsia="ru-RU"/>
        </w:rPr>
        <w:t>]</w:t>
      </w:r>
      <w:r w:rsidRPr="00E43BFA">
        <w:rPr>
          <w:rFonts w:ascii="Times New Roman" w:hAnsi="Times New Roman"/>
          <w:sz w:val="24"/>
          <w:szCs w:val="24"/>
          <w:lang w:val="en-US"/>
        </w:rPr>
        <w:t>.</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In recent years, the incorporation of digital tools, interactive platforms, and learner-centered strategies has emerged as a promising avenue for enhancing language acquisition</w:t>
      </w:r>
      <w:r w:rsidRPr="00E43BFA">
        <w:rPr>
          <w:rFonts w:ascii="Times New Roman" w:hAnsi="Times New Roman"/>
          <w:sz w:val="24"/>
          <w:szCs w:val="24"/>
          <w:lang w:val="en-US" w:eastAsia="ru-RU"/>
        </w:rPr>
        <w:t>[</w:t>
      </w:r>
      <w:r w:rsidRPr="00406B8E">
        <w:rPr>
          <w:rFonts w:ascii="Times New Roman" w:hAnsi="Times New Roman"/>
          <w:sz w:val="24"/>
          <w:szCs w:val="24"/>
          <w:lang w:val="en-US" w:eastAsia="ru-RU"/>
        </w:rPr>
        <w:t>7</w:t>
      </w:r>
      <w:r w:rsidRPr="00E43BFA">
        <w:rPr>
          <w:rFonts w:ascii="Times New Roman" w:hAnsi="Times New Roman"/>
          <w:sz w:val="24"/>
          <w:szCs w:val="24"/>
          <w:lang w:val="en-US" w:eastAsia="ru-RU"/>
        </w:rPr>
        <w:t>]</w:t>
      </w:r>
      <w:r w:rsidRPr="00E43BFA">
        <w:rPr>
          <w:rFonts w:ascii="Times New Roman" w:hAnsi="Times New Roman"/>
          <w:sz w:val="24"/>
          <w:szCs w:val="24"/>
          <w:lang w:val="en-US"/>
        </w:rPr>
        <w:t>. The pedagogical emphasis is increasingly placed on practical application, critical thinking, collaboration, and project-based learning—all of which align closely with the competencies required in technical professions.</w:t>
      </w:r>
    </w:p>
    <w:p w:rsidR="00C73D9E" w:rsidRPr="00E43BFA" w:rsidRDefault="00C73D9E" w:rsidP="00916B37">
      <w:pPr>
        <w:pStyle w:val="NoSpacing"/>
        <w:ind w:firstLine="708"/>
        <w:jc w:val="both"/>
        <w:rPr>
          <w:rFonts w:ascii="Times New Roman" w:hAnsi="Times New Roman"/>
          <w:sz w:val="24"/>
          <w:szCs w:val="24"/>
          <w:lang w:val="en-US"/>
        </w:rPr>
      </w:pPr>
      <w:r w:rsidRPr="00E43BFA">
        <w:rPr>
          <w:rFonts w:ascii="Times New Roman" w:hAnsi="Times New Roman"/>
          <w:sz w:val="24"/>
          <w:szCs w:val="24"/>
          <w:lang w:val="en-US"/>
        </w:rPr>
        <w:t>The current research sets out to identify, systematize, and evaluate innovative approaches that effectively support foreign language education in technical universities. It aims to provide empirical evidence of their impact on the development of communicative competence and related skills, while also outlining the institutional prerequisites for their successful implementation</w:t>
      </w:r>
      <w:r w:rsidRPr="00E43BFA">
        <w:rPr>
          <w:rFonts w:ascii="Times New Roman" w:hAnsi="Times New Roman"/>
          <w:sz w:val="24"/>
          <w:szCs w:val="24"/>
          <w:lang w:val="en-US" w:eastAsia="ru-RU"/>
        </w:rPr>
        <w:t>[</w:t>
      </w:r>
      <w:r w:rsidRPr="00406B8E">
        <w:rPr>
          <w:rFonts w:ascii="Times New Roman" w:hAnsi="Times New Roman"/>
          <w:sz w:val="24"/>
          <w:szCs w:val="24"/>
          <w:lang w:val="en-US" w:eastAsia="ru-RU"/>
        </w:rPr>
        <w:t>8,</w:t>
      </w:r>
      <w:r w:rsidRPr="00551899">
        <w:rPr>
          <w:rFonts w:ascii="Times New Roman" w:hAnsi="Times New Roman"/>
          <w:sz w:val="24"/>
          <w:szCs w:val="24"/>
          <w:lang w:val="en-US" w:eastAsia="ru-RU"/>
        </w:rPr>
        <w:t>9</w:t>
      </w:r>
      <w:r w:rsidRPr="00E43BFA">
        <w:rPr>
          <w:rFonts w:ascii="Times New Roman" w:hAnsi="Times New Roman"/>
          <w:sz w:val="24"/>
          <w:szCs w:val="24"/>
          <w:lang w:val="en-US" w:eastAsia="ru-RU"/>
        </w:rPr>
        <w:t>]</w:t>
      </w:r>
      <w:r w:rsidRPr="00E43BFA">
        <w:rPr>
          <w:rFonts w:ascii="Times New Roman" w:hAnsi="Times New Roman"/>
          <w:sz w:val="24"/>
          <w:szCs w:val="24"/>
          <w:lang w:val="en-US"/>
        </w:rPr>
        <w:t>.</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This study is positioned within the broader framework of educational modernization, responding to both the demands of the global labor market and the evolving cognitive styles of learners. It draws on best practices from both national and international contexts and seeks to contribute to a methodological foundation that supports flexible, adaptive, and future-ready language education</w:t>
      </w:r>
      <w:r w:rsidRPr="00E43BFA">
        <w:rPr>
          <w:rFonts w:ascii="Times New Roman" w:hAnsi="Times New Roman"/>
          <w:sz w:val="24"/>
          <w:szCs w:val="24"/>
          <w:lang w:val="en-US" w:eastAsia="ru-RU"/>
        </w:rPr>
        <w:t>[1</w:t>
      </w:r>
      <w:r w:rsidRPr="00551899">
        <w:rPr>
          <w:rFonts w:ascii="Times New Roman" w:hAnsi="Times New Roman"/>
          <w:sz w:val="24"/>
          <w:szCs w:val="24"/>
          <w:lang w:val="en-US" w:eastAsia="ru-RU"/>
        </w:rPr>
        <w:t>0,1</w:t>
      </w:r>
      <w:r w:rsidRPr="00E05053">
        <w:rPr>
          <w:rFonts w:ascii="Times New Roman" w:hAnsi="Times New Roman"/>
          <w:sz w:val="24"/>
          <w:szCs w:val="24"/>
          <w:lang w:val="en-US" w:eastAsia="ru-RU"/>
        </w:rPr>
        <w:t>1</w:t>
      </w:r>
      <w:r w:rsidRPr="00E43BFA">
        <w:rPr>
          <w:rFonts w:ascii="Times New Roman" w:hAnsi="Times New Roman"/>
          <w:sz w:val="24"/>
          <w:szCs w:val="24"/>
          <w:lang w:val="en-US" w:eastAsia="ru-RU"/>
        </w:rPr>
        <w:t>]</w:t>
      </w:r>
      <w:r w:rsidRPr="00E43BFA">
        <w:rPr>
          <w:rFonts w:ascii="Times New Roman" w:hAnsi="Times New Roman"/>
          <w:sz w:val="24"/>
          <w:szCs w:val="24"/>
          <w:lang w:val="en-US"/>
        </w:rPr>
        <w:t>.</w:t>
      </w:r>
    </w:p>
    <w:p w:rsidR="00C73D9E" w:rsidRDefault="00C73D9E" w:rsidP="00E43BFA">
      <w:pPr>
        <w:pStyle w:val="NoSpacing"/>
        <w:jc w:val="both"/>
        <w:rPr>
          <w:rStyle w:val="Strong"/>
          <w:rFonts w:ascii="Times New Roman" w:hAnsi="Times New Roman"/>
          <w:sz w:val="24"/>
          <w:szCs w:val="24"/>
          <w:lang w:val="en-US"/>
        </w:rPr>
      </w:pPr>
    </w:p>
    <w:p w:rsidR="00C73D9E" w:rsidRPr="00E43BFA" w:rsidRDefault="00C73D9E" w:rsidP="00916B37">
      <w:pPr>
        <w:pStyle w:val="NoSpacing"/>
        <w:ind w:firstLine="708"/>
        <w:rPr>
          <w:rFonts w:ascii="Times New Roman" w:hAnsi="Times New Roman"/>
          <w:sz w:val="24"/>
          <w:szCs w:val="24"/>
          <w:lang w:val="en-US"/>
        </w:rPr>
      </w:pPr>
      <w:r w:rsidRPr="00E43BFA">
        <w:rPr>
          <w:rStyle w:val="Strong"/>
          <w:rFonts w:ascii="Times New Roman" w:hAnsi="Times New Roman"/>
          <w:sz w:val="24"/>
          <w:szCs w:val="24"/>
          <w:lang w:val="en-US"/>
        </w:rPr>
        <w:t>Materials and Methods</w:t>
      </w:r>
      <w:r w:rsidRPr="00E43BFA">
        <w:rPr>
          <w:rFonts w:ascii="Times New Roman" w:hAnsi="Times New Roman"/>
          <w:sz w:val="24"/>
          <w:szCs w:val="24"/>
          <w:lang w:val="en-US"/>
        </w:rPr>
        <w:br/>
        <w:t>This comprehensive study employs a hybrid methodology, integrating theoretical and applied research strategies. The core objective is to identify and justify effective innovative methods for teaching foreign languages in technical universities, with a focus on their impact on students’ professional and communicative competencies.</w:t>
      </w:r>
    </w:p>
    <w:p w:rsidR="00C73D9E" w:rsidRPr="00E05053" w:rsidRDefault="00C73D9E" w:rsidP="00E43BFA">
      <w:pPr>
        <w:pStyle w:val="NoSpacing"/>
        <w:jc w:val="both"/>
        <w:rPr>
          <w:rFonts w:ascii="Times New Roman" w:hAnsi="Times New Roman"/>
          <w:sz w:val="24"/>
          <w:szCs w:val="24"/>
          <w:lang w:val="en-US"/>
        </w:rPr>
      </w:pPr>
      <w:r w:rsidRPr="00E05053">
        <w:rPr>
          <w:rFonts w:ascii="Times New Roman" w:hAnsi="Times New Roman"/>
          <w:sz w:val="24"/>
          <w:szCs w:val="24"/>
          <w:lang w:val="en-US"/>
        </w:rPr>
        <w:t>The research methods include:</w:t>
      </w:r>
    </w:p>
    <w:p w:rsidR="00C73D9E" w:rsidRPr="00916B37" w:rsidRDefault="00C73D9E" w:rsidP="00916B37">
      <w:pPr>
        <w:pStyle w:val="NoSpacing"/>
        <w:ind w:firstLine="708"/>
        <w:jc w:val="both"/>
        <w:rPr>
          <w:rFonts w:ascii="Times New Roman" w:hAnsi="Times New Roman"/>
          <w:sz w:val="24"/>
          <w:szCs w:val="24"/>
          <w:lang w:val="en-US"/>
        </w:rPr>
      </w:pPr>
      <w:r w:rsidRPr="00916B37">
        <w:rPr>
          <w:rStyle w:val="Strong"/>
          <w:rFonts w:ascii="Times New Roman" w:hAnsi="Times New Roman"/>
          <w:b w:val="0"/>
          <w:sz w:val="24"/>
          <w:szCs w:val="24"/>
          <w:lang w:val="en-US"/>
        </w:rPr>
        <w:t>Literature Review</w:t>
      </w:r>
      <w:r w:rsidRPr="00916B37">
        <w:rPr>
          <w:rFonts w:ascii="Times New Roman" w:hAnsi="Times New Roman"/>
          <w:b/>
          <w:sz w:val="24"/>
          <w:szCs w:val="24"/>
          <w:lang w:val="en-US"/>
        </w:rPr>
        <w:t>:</w:t>
      </w:r>
      <w:r w:rsidRPr="00916B37">
        <w:rPr>
          <w:rFonts w:ascii="Times New Roman" w:hAnsi="Times New Roman"/>
          <w:sz w:val="24"/>
          <w:szCs w:val="24"/>
          <w:lang w:val="en-US"/>
        </w:rPr>
        <w:t xml:space="preserve"> More than 40 scholarly sources were reviewed, encompassing both Russian and international works on foreign language pedagogy, digital education, and interactive technologies (including key contributions from </w:t>
      </w:r>
      <w:smartTag w:uri="urn:schemas-microsoft-com:office:smarttags" w:element="place">
        <w:smartTag w:uri="urn:schemas-microsoft-com:office:smarttags" w:element="City">
          <w:r w:rsidRPr="00916B37">
            <w:rPr>
              <w:rFonts w:ascii="Times New Roman" w:hAnsi="Times New Roman"/>
              <w:sz w:val="24"/>
              <w:szCs w:val="24"/>
              <w:lang w:val="en-US"/>
            </w:rPr>
            <w:t>Galskova</w:t>
          </w:r>
        </w:smartTag>
        <w:r w:rsidRPr="00916B37">
          <w:rPr>
            <w:rFonts w:ascii="Times New Roman" w:hAnsi="Times New Roman"/>
            <w:sz w:val="24"/>
            <w:szCs w:val="24"/>
            <w:lang w:val="en-US"/>
          </w:rPr>
          <w:t xml:space="preserve"> </w:t>
        </w:r>
        <w:smartTag w:uri="urn:schemas-microsoft-com:office:smarttags" w:element="State">
          <w:r w:rsidRPr="00916B37">
            <w:rPr>
              <w:rFonts w:ascii="Times New Roman" w:hAnsi="Times New Roman"/>
              <w:sz w:val="24"/>
              <w:szCs w:val="24"/>
              <w:lang w:val="en-US"/>
            </w:rPr>
            <w:t>N.D.</w:t>
          </w:r>
        </w:smartTag>
      </w:smartTag>
      <w:r w:rsidRPr="00916B37">
        <w:rPr>
          <w:rFonts w:ascii="Times New Roman" w:hAnsi="Times New Roman"/>
          <w:sz w:val="24"/>
          <w:szCs w:val="24"/>
          <w:lang w:val="en-US"/>
        </w:rPr>
        <w:t>, Passov E.I., Richards J.C., Prensky M., among others).</w:t>
      </w:r>
    </w:p>
    <w:p w:rsidR="00C73D9E" w:rsidRPr="00916B37" w:rsidRDefault="00C73D9E" w:rsidP="00916B37">
      <w:pPr>
        <w:pStyle w:val="NoSpacing"/>
        <w:ind w:firstLine="708"/>
        <w:jc w:val="both"/>
        <w:rPr>
          <w:rFonts w:ascii="Times New Roman" w:hAnsi="Times New Roman"/>
          <w:sz w:val="24"/>
          <w:szCs w:val="24"/>
          <w:lang w:val="en-US"/>
        </w:rPr>
      </w:pPr>
      <w:r w:rsidRPr="00916B37">
        <w:rPr>
          <w:rStyle w:val="Strong"/>
          <w:rFonts w:ascii="Times New Roman" w:hAnsi="Times New Roman"/>
          <w:b w:val="0"/>
          <w:sz w:val="24"/>
          <w:szCs w:val="24"/>
          <w:lang w:val="en-US"/>
        </w:rPr>
        <w:t>Curriculum Content Analysis</w:t>
      </w:r>
      <w:r w:rsidRPr="00916B37">
        <w:rPr>
          <w:rFonts w:ascii="Times New Roman" w:hAnsi="Times New Roman"/>
          <w:b/>
          <w:sz w:val="24"/>
          <w:szCs w:val="24"/>
          <w:lang w:val="en-US"/>
        </w:rPr>
        <w:t>:</w:t>
      </w:r>
      <w:r w:rsidRPr="00916B37">
        <w:rPr>
          <w:rFonts w:ascii="Times New Roman" w:hAnsi="Times New Roman"/>
          <w:sz w:val="24"/>
          <w:szCs w:val="24"/>
          <w:lang w:val="en-US"/>
        </w:rPr>
        <w:t xml:space="preserve"> Curricula and course syllabi from technical universities in </w:t>
      </w:r>
      <w:smartTag w:uri="urn:schemas-microsoft-com:office:smarttags" w:element="place">
        <w:smartTag w:uri="urn:schemas-microsoft-com:office:smarttags" w:element="country-region">
          <w:r w:rsidRPr="00916B37">
            <w:rPr>
              <w:rFonts w:ascii="Times New Roman" w:hAnsi="Times New Roman"/>
              <w:sz w:val="24"/>
              <w:szCs w:val="24"/>
              <w:lang w:val="en-US"/>
            </w:rPr>
            <w:t>Russia</w:t>
          </w:r>
        </w:smartTag>
      </w:smartTag>
      <w:r w:rsidRPr="00916B37">
        <w:rPr>
          <w:rFonts w:ascii="Times New Roman" w:hAnsi="Times New Roman"/>
          <w:sz w:val="24"/>
          <w:szCs w:val="24"/>
          <w:lang w:val="en-US"/>
        </w:rPr>
        <w:t xml:space="preserve"> and neighboring countries (2020–2023) were analyzed to assess the extent to which innovative teaching methods have been integrated.</w:t>
      </w:r>
    </w:p>
    <w:p w:rsidR="00C73D9E" w:rsidRPr="00916B37" w:rsidRDefault="00C73D9E" w:rsidP="00916B37">
      <w:pPr>
        <w:pStyle w:val="NoSpacing"/>
        <w:ind w:firstLine="708"/>
        <w:jc w:val="both"/>
        <w:rPr>
          <w:rFonts w:ascii="Times New Roman" w:hAnsi="Times New Roman"/>
          <w:sz w:val="24"/>
          <w:szCs w:val="24"/>
          <w:lang w:val="en-US"/>
        </w:rPr>
      </w:pPr>
      <w:r w:rsidRPr="00916B37">
        <w:rPr>
          <w:rStyle w:val="Strong"/>
          <w:rFonts w:ascii="Times New Roman" w:hAnsi="Times New Roman"/>
          <w:b w:val="0"/>
          <w:sz w:val="24"/>
          <w:szCs w:val="24"/>
          <w:lang w:val="en-US"/>
        </w:rPr>
        <w:t>Pedagogical Observation</w:t>
      </w:r>
      <w:r w:rsidRPr="00916B37">
        <w:rPr>
          <w:rFonts w:ascii="Times New Roman" w:hAnsi="Times New Roman"/>
          <w:b/>
          <w:sz w:val="24"/>
          <w:szCs w:val="24"/>
          <w:lang w:val="en-US"/>
        </w:rPr>
        <w:t>:</w:t>
      </w:r>
      <w:r w:rsidRPr="00916B37">
        <w:rPr>
          <w:rFonts w:ascii="Times New Roman" w:hAnsi="Times New Roman"/>
          <w:sz w:val="24"/>
          <w:szCs w:val="24"/>
          <w:lang w:val="en-US"/>
        </w:rPr>
        <w:t xml:space="preserve"> Classroom activities involving first- to third-year technical students were observed under conditions utilizing digital and interactive learning formats—such as e-courses, online platforms (Moodle, Quizlet, Miro, Padlet), simulations, and collaborative projects.</w:t>
      </w:r>
    </w:p>
    <w:p w:rsidR="00C73D9E" w:rsidRPr="00916B37" w:rsidRDefault="00C73D9E" w:rsidP="00916B37">
      <w:pPr>
        <w:pStyle w:val="NoSpacing"/>
        <w:ind w:firstLine="708"/>
        <w:jc w:val="both"/>
        <w:rPr>
          <w:rFonts w:ascii="Times New Roman" w:hAnsi="Times New Roman"/>
          <w:sz w:val="24"/>
          <w:szCs w:val="24"/>
          <w:lang w:val="en-US"/>
        </w:rPr>
      </w:pPr>
      <w:r w:rsidRPr="00916B37">
        <w:rPr>
          <w:rStyle w:val="Strong"/>
          <w:rFonts w:ascii="Times New Roman" w:hAnsi="Times New Roman"/>
          <w:b w:val="0"/>
          <w:sz w:val="24"/>
          <w:szCs w:val="24"/>
          <w:lang w:val="en-US"/>
        </w:rPr>
        <w:t>Comparative Analysis</w:t>
      </w:r>
      <w:r w:rsidRPr="00916B37">
        <w:rPr>
          <w:rFonts w:ascii="Times New Roman" w:hAnsi="Times New Roman"/>
          <w:b/>
          <w:sz w:val="24"/>
          <w:szCs w:val="24"/>
          <w:lang w:val="en-US"/>
        </w:rPr>
        <w:t>:</w:t>
      </w:r>
      <w:r w:rsidRPr="00916B37">
        <w:rPr>
          <w:rFonts w:ascii="Times New Roman" w:hAnsi="Times New Roman"/>
          <w:sz w:val="24"/>
          <w:szCs w:val="24"/>
          <w:lang w:val="en-US"/>
        </w:rPr>
        <w:t xml:space="preserve"> Traditional and innovative teaching approaches were compared to assess their impact on student motivation, engagement, and language competence.</w:t>
      </w:r>
    </w:p>
    <w:p w:rsidR="00C73D9E" w:rsidRPr="00E43BFA" w:rsidRDefault="00C73D9E" w:rsidP="00916B37">
      <w:pPr>
        <w:pStyle w:val="NoSpacing"/>
        <w:ind w:firstLine="708"/>
        <w:jc w:val="both"/>
        <w:rPr>
          <w:rFonts w:ascii="Times New Roman" w:hAnsi="Times New Roman"/>
          <w:sz w:val="24"/>
          <w:szCs w:val="24"/>
          <w:lang w:val="en-US"/>
        </w:rPr>
      </w:pPr>
      <w:r w:rsidRPr="00916B37">
        <w:rPr>
          <w:rStyle w:val="Strong"/>
          <w:rFonts w:ascii="Times New Roman" w:hAnsi="Times New Roman"/>
          <w:b w:val="0"/>
          <w:sz w:val="24"/>
          <w:szCs w:val="24"/>
          <w:lang w:val="en-US"/>
        </w:rPr>
        <w:t>Experimental Research</w:t>
      </w:r>
      <w:r w:rsidRPr="00916B37">
        <w:rPr>
          <w:rFonts w:ascii="Times New Roman" w:hAnsi="Times New Roman"/>
          <w:b/>
          <w:sz w:val="24"/>
          <w:szCs w:val="24"/>
          <w:lang w:val="en-US"/>
        </w:rPr>
        <w:t>:</w:t>
      </w:r>
      <w:r w:rsidRPr="00E43BFA">
        <w:rPr>
          <w:rFonts w:ascii="Times New Roman" w:hAnsi="Times New Roman"/>
          <w:sz w:val="24"/>
          <w:szCs w:val="24"/>
          <w:lang w:val="en-US"/>
        </w:rPr>
        <w:t xml:space="preserve"> Over two semesters (Fall 2022 – Spring 2023), 62 students participated in experimental learning modules that incorporated creative methods (e.g., case studies, role-plays, mini-projects, AI tools). Self-assessment surveys were conducted to measure learning outcomes and motivational changes.</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Data were analyzed using descriptive statistics, expert evaluation, and correlation analysis to ensure objectivity and replicability of findings. This multimethod approach enabled a nuanced exploration of both the content and implementation of innovative language teaching within technical education settings.</w:t>
      </w:r>
    </w:p>
    <w:p w:rsidR="00C73D9E" w:rsidRDefault="00C73D9E" w:rsidP="00E43BFA">
      <w:pPr>
        <w:pStyle w:val="NoSpacing"/>
        <w:jc w:val="both"/>
        <w:rPr>
          <w:rStyle w:val="Strong"/>
          <w:rFonts w:ascii="Times New Roman" w:hAnsi="Times New Roman"/>
          <w:sz w:val="24"/>
          <w:szCs w:val="24"/>
          <w:lang w:val="en-US"/>
        </w:rPr>
      </w:pPr>
    </w:p>
    <w:p w:rsidR="00C73D9E" w:rsidRPr="00E43BFA" w:rsidRDefault="00C73D9E" w:rsidP="00916B37">
      <w:pPr>
        <w:pStyle w:val="NoSpacing"/>
        <w:ind w:firstLine="708"/>
        <w:jc w:val="both"/>
        <w:rPr>
          <w:rFonts w:ascii="Times New Roman" w:hAnsi="Times New Roman"/>
          <w:sz w:val="24"/>
          <w:szCs w:val="24"/>
          <w:lang w:val="en-US"/>
        </w:rPr>
      </w:pPr>
      <w:r w:rsidRPr="00916B37">
        <w:rPr>
          <w:rStyle w:val="Strong"/>
          <w:rFonts w:ascii="Times New Roman" w:hAnsi="Times New Roman"/>
          <w:sz w:val="28"/>
          <w:szCs w:val="28"/>
          <w:lang w:val="en-US"/>
        </w:rPr>
        <w:t>Results</w:t>
      </w:r>
      <w:r w:rsidRPr="00916B37">
        <w:rPr>
          <w:rFonts w:ascii="Times New Roman" w:hAnsi="Times New Roman"/>
          <w:sz w:val="28"/>
          <w:szCs w:val="28"/>
          <w:lang w:val="en-US"/>
        </w:rPr>
        <w:br/>
      </w:r>
      <w:r w:rsidRPr="00E43BFA">
        <w:rPr>
          <w:rFonts w:ascii="Times New Roman" w:hAnsi="Times New Roman"/>
          <w:sz w:val="24"/>
          <w:szCs w:val="24"/>
          <w:lang w:val="en-US"/>
        </w:rPr>
        <w:t>The integrated analysis of both theoretical and empirical data yielded several critical insights into the efficacy of innovative language teaching strategies in technical universities.</w:t>
      </w:r>
    </w:p>
    <w:p w:rsidR="00C73D9E" w:rsidRPr="00E43BFA" w:rsidRDefault="00C73D9E" w:rsidP="00916B37">
      <w:pPr>
        <w:pStyle w:val="NoSpacing"/>
        <w:ind w:firstLine="708"/>
        <w:jc w:val="both"/>
        <w:rPr>
          <w:rFonts w:ascii="Times New Roman" w:hAnsi="Times New Roman"/>
          <w:sz w:val="24"/>
          <w:szCs w:val="24"/>
          <w:lang w:val="en-US"/>
        </w:rPr>
      </w:pPr>
      <w:r w:rsidRPr="00916B37">
        <w:rPr>
          <w:rStyle w:val="Strong"/>
          <w:rFonts w:ascii="Times New Roman" w:hAnsi="Times New Roman"/>
          <w:b w:val="0"/>
          <w:sz w:val="24"/>
          <w:szCs w:val="24"/>
          <w:lang w:val="en-US"/>
        </w:rPr>
        <w:t>Theoretical Foundation</w:t>
      </w:r>
      <w:r w:rsidRPr="00916B37">
        <w:rPr>
          <w:rFonts w:ascii="Times New Roman" w:hAnsi="Times New Roman"/>
          <w:b/>
          <w:sz w:val="24"/>
          <w:szCs w:val="24"/>
          <w:lang w:val="en-US"/>
        </w:rPr>
        <w:t>:</w:t>
      </w:r>
      <w:r w:rsidRPr="00E43BFA">
        <w:rPr>
          <w:rFonts w:ascii="Times New Roman" w:hAnsi="Times New Roman"/>
          <w:sz w:val="24"/>
          <w:szCs w:val="24"/>
          <w:lang w:val="en-US"/>
        </w:rPr>
        <w:t xml:space="preserve"> The review of more than 40 academic publications revealed a pronounced shift in language teaching paradigms toward communicative, task-based, and digitally mediated approaches. Influential authors emphasize learner autonomy, interactivity, and the use of real-world tasks to promote linguistic proficiency. These pedagogical principles served as a guiding framework for the experimental phase.</w:t>
      </w:r>
    </w:p>
    <w:p w:rsidR="00C73D9E" w:rsidRPr="00E43BFA" w:rsidRDefault="00C73D9E" w:rsidP="00916B37">
      <w:pPr>
        <w:pStyle w:val="NoSpacing"/>
        <w:ind w:firstLine="708"/>
        <w:jc w:val="both"/>
        <w:rPr>
          <w:rFonts w:ascii="Times New Roman" w:hAnsi="Times New Roman"/>
          <w:sz w:val="24"/>
          <w:szCs w:val="24"/>
          <w:lang w:val="en-US"/>
        </w:rPr>
      </w:pPr>
      <w:r w:rsidRPr="00916B37">
        <w:rPr>
          <w:rStyle w:val="Strong"/>
          <w:rFonts w:ascii="Times New Roman" w:hAnsi="Times New Roman"/>
          <w:b w:val="0"/>
          <w:sz w:val="24"/>
          <w:szCs w:val="24"/>
          <w:lang w:val="en-US"/>
        </w:rPr>
        <w:t>Curriculum Analysis</w:t>
      </w:r>
      <w:r w:rsidRPr="00916B37">
        <w:rPr>
          <w:rFonts w:ascii="Times New Roman" w:hAnsi="Times New Roman"/>
          <w:b/>
          <w:sz w:val="24"/>
          <w:szCs w:val="24"/>
          <w:lang w:val="en-US"/>
        </w:rPr>
        <w:t>:</w:t>
      </w:r>
      <w:r w:rsidRPr="00E43BFA">
        <w:rPr>
          <w:rFonts w:ascii="Times New Roman" w:hAnsi="Times New Roman"/>
          <w:sz w:val="24"/>
          <w:szCs w:val="24"/>
          <w:lang w:val="en-US"/>
        </w:rPr>
        <w:t xml:space="preserve"> A review of language education curricula at various technical institutions in </w:t>
      </w:r>
      <w:smartTag w:uri="urn:schemas-microsoft-com:office:smarttags" w:element="country-region">
        <w:r w:rsidRPr="00E43BFA">
          <w:rPr>
            <w:rFonts w:ascii="Times New Roman" w:hAnsi="Times New Roman"/>
            <w:sz w:val="24"/>
            <w:szCs w:val="24"/>
            <w:lang w:val="en-US"/>
          </w:rPr>
          <w:t>Russia</w:t>
        </w:r>
      </w:smartTag>
      <w:r w:rsidRPr="00E43BFA">
        <w:rPr>
          <w:rFonts w:ascii="Times New Roman" w:hAnsi="Times New Roman"/>
          <w:sz w:val="24"/>
          <w:szCs w:val="24"/>
          <w:lang w:val="en-US"/>
        </w:rPr>
        <w:t xml:space="preserve">, </w:t>
      </w:r>
      <w:smartTag w:uri="urn:schemas-microsoft-com:office:smarttags" w:element="country-region">
        <w:r w:rsidRPr="00E43BFA">
          <w:rPr>
            <w:rFonts w:ascii="Times New Roman" w:hAnsi="Times New Roman"/>
            <w:sz w:val="24"/>
            <w:szCs w:val="24"/>
            <w:lang w:val="en-US"/>
          </w:rPr>
          <w:t>Kazakhstan</w:t>
        </w:r>
      </w:smartTag>
      <w:r w:rsidRPr="00E43BFA">
        <w:rPr>
          <w:rFonts w:ascii="Times New Roman" w:hAnsi="Times New Roman"/>
          <w:sz w:val="24"/>
          <w:szCs w:val="24"/>
          <w:lang w:val="en-US"/>
        </w:rPr>
        <w:t xml:space="preserve">, and </w:t>
      </w:r>
      <w:smartTag w:uri="urn:schemas-microsoft-com:office:smarttags" w:element="place">
        <w:smartTag w:uri="urn:schemas-microsoft-com:office:smarttags" w:element="country-region">
          <w:r w:rsidRPr="00E43BFA">
            <w:rPr>
              <w:rFonts w:ascii="Times New Roman" w:hAnsi="Times New Roman"/>
              <w:sz w:val="24"/>
              <w:szCs w:val="24"/>
              <w:lang w:val="en-US"/>
            </w:rPr>
            <w:t>Uzbekistan</w:t>
          </w:r>
        </w:smartTag>
      </w:smartTag>
      <w:r w:rsidRPr="00E43BFA">
        <w:rPr>
          <w:rFonts w:ascii="Times New Roman" w:hAnsi="Times New Roman"/>
          <w:sz w:val="24"/>
          <w:szCs w:val="24"/>
          <w:lang w:val="en-US"/>
        </w:rPr>
        <w:t xml:space="preserve"> indicated that only about one-third incorporated elements of project-based learning or digital tools. The majority of programs continue to rely on traditional methods that are insufficient for fostering communicative competence.</w:t>
      </w:r>
    </w:p>
    <w:p w:rsidR="00C73D9E" w:rsidRPr="00E43BFA" w:rsidRDefault="00C73D9E" w:rsidP="00916B37">
      <w:pPr>
        <w:pStyle w:val="NoSpacing"/>
        <w:ind w:firstLine="708"/>
        <w:jc w:val="both"/>
        <w:rPr>
          <w:rFonts w:ascii="Times New Roman" w:hAnsi="Times New Roman"/>
          <w:sz w:val="24"/>
          <w:szCs w:val="24"/>
          <w:lang w:val="en-US"/>
        </w:rPr>
      </w:pPr>
      <w:r w:rsidRPr="00916B37">
        <w:rPr>
          <w:rStyle w:val="Strong"/>
          <w:rFonts w:ascii="Times New Roman" w:hAnsi="Times New Roman"/>
          <w:b w:val="0"/>
          <w:sz w:val="24"/>
          <w:szCs w:val="24"/>
          <w:lang w:val="en-US"/>
        </w:rPr>
        <w:t>Observation of Student Behavior</w:t>
      </w:r>
      <w:r w:rsidRPr="00916B37">
        <w:rPr>
          <w:rFonts w:ascii="Times New Roman" w:hAnsi="Times New Roman"/>
          <w:b/>
          <w:sz w:val="24"/>
          <w:szCs w:val="24"/>
          <w:lang w:val="en-US"/>
        </w:rPr>
        <w:t>:</w:t>
      </w:r>
      <w:r w:rsidRPr="00E43BFA">
        <w:rPr>
          <w:rFonts w:ascii="Times New Roman" w:hAnsi="Times New Roman"/>
          <w:sz w:val="24"/>
          <w:szCs w:val="24"/>
          <w:lang w:val="en-US"/>
        </w:rPr>
        <w:t xml:space="preserve"> Classroom observations over two semesters demonstrated that digital tools such as Moodle, Padlet, and Miro—combined with role-play, simulation, and AI-assisted tasks (e.g., ChatGPT, Grammarly)—significantly enhanced student engagement. Small-group work with competitive elements proved especially effective in sustaining motivation and interaction.</w:t>
      </w:r>
    </w:p>
    <w:p w:rsidR="00C73D9E" w:rsidRPr="00E43BFA" w:rsidRDefault="00C73D9E" w:rsidP="00916B37">
      <w:pPr>
        <w:pStyle w:val="NoSpacing"/>
        <w:ind w:firstLine="708"/>
        <w:jc w:val="both"/>
        <w:rPr>
          <w:rFonts w:ascii="Times New Roman" w:hAnsi="Times New Roman"/>
          <w:sz w:val="24"/>
          <w:szCs w:val="24"/>
          <w:lang w:val="en-US"/>
        </w:rPr>
      </w:pPr>
      <w:r w:rsidRPr="00916B37">
        <w:rPr>
          <w:rStyle w:val="Strong"/>
          <w:rFonts w:ascii="Times New Roman" w:hAnsi="Times New Roman"/>
          <w:b w:val="0"/>
          <w:sz w:val="24"/>
          <w:szCs w:val="24"/>
          <w:lang w:val="en-US"/>
        </w:rPr>
        <w:t>Comparative Outcomes</w:t>
      </w:r>
      <w:r w:rsidRPr="00916B37">
        <w:rPr>
          <w:rFonts w:ascii="Times New Roman" w:hAnsi="Times New Roman"/>
          <w:b/>
          <w:sz w:val="24"/>
          <w:szCs w:val="24"/>
          <w:lang w:val="en-US"/>
        </w:rPr>
        <w:t>:</w:t>
      </w:r>
      <w:r w:rsidRPr="00E43BFA">
        <w:rPr>
          <w:rFonts w:ascii="Times New Roman" w:hAnsi="Times New Roman"/>
          <w:sz w:val="24"/>
          <w:szCs w:val="24"/>
          <w:lang w:val="en-US"/>
        </w:rPr>
        <w:t xml:space="preserve"> Students in the experimental group exhibited a 78% increase in motivation and a 25.2% improvement in language skills, compared to the control group’s 7–10% gains. More than two-thirds began using the target language in extracurricular contexts.</w:t>
      </w:r>
    </w:p>
    <w:p w:rsidR="00C73D9E" w:rsidRPr="00E43BFA" w:rsidRDefault="00C73D9E" w:rsidP="00916B37">
      <w:pPr>
        <w:pStyle w:val="NoSpacing"/>
        <w:ind w:firstLine="708"/>
        <w:jc w:val="both"/>
        <w:rPr>
          <w:rFonts w:ascii="Times New Roman" w:hAnsi="Times New Roman"/>
          <w:sz w:val="24"/>
          <w:szCs w:val="24"/>
          <w:lang w:val="en-US"/>
        </w:rPr>
      </w:pPr>
      <w:r w:rsidRPr="00916B37">
        <w:rPr>
          <w:rStyle w:val="Strong"/>
          <w:rFonts w:ascii="Times New Roman" w:hAnsi="Times New Roman"/>
          <w:b w:val="0"/>
          <w:sz w:val="24"/>
          <w:szCs w:val="24"/>
          <w:lang w:val="en-US"/>
        </w:rPr>
        <w:t>Survey Feedback</w:t>
      </w:r>
      <w:r w:rsidRPr="00916B37">
        <w:rPr>
          <w:rFonts w:ascii="Times New Roman" w:hAnsi="Times New Roman"/>
          <w:b/>
          <w:sz w:val="24"/>
          <w:szCs w:val="24"/>
          <w:lang w:val="en-US"/>
        </w:rPr>
        <w:t>:</w:t>
      </w:r>
      <w:r w:rsidRPr="00E43BFA">
        <w:rPr>
          <w:rFonts w:ascii="Times New Roman" w:hAnsi="Times New Roman"/>
          <w:sz w:val="24"/>
          <w:szCs w:val="24"/>
          <w:lang w:val="en-US"/>
        </w:rPr>
        <w:t xml:space="preserve"> Students reported positive perceptions of the innovative teaching approaches, citing accessibility, clarity, real-world relevance, and the opportunity to practice language in simulated professional scenarios as key benefits.</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These results collectively affirm that innovative approaches not only enhance language acquisition but also cultivate transversal skills such as critical thinking, collaboration, and self-directed learning—essential for success in technical fields (Figure 1.).</w:t>
      </w:r>
    </w:p>
    <w:p w:rsidR="00C73D9E" w:rsidRPr="00E43BFA" w:rsidRDefault="00C73D9E" w:rsidP="00E43BFA">
      <w:pPr>
        <w:pStyle w:val="NoSpacing"/>
        <w:jc w:val="both"/>
        <w:rPr>
          <w:rFonts w:ascii="Times New Roman" w:hAnsi="Times New Roman"/>
          <w:noProof/>
          <w:sz w:val="24"/>
          <w:szCs w:val="24"/>
          <w:lang w:val="en-US"/>
        </w:rPr>
      </w:pPr>
    </w:p>
    <w:p w:rsidR="00C73D9E" w:rsidRPr="00E43BFA" w:rsidRDefault="00C73D9E" w:rsidP="00E43BFA">
      <w:pPr>
        <w:pStyle w:val="NoSpacing"/>
        <w:jc w:val="both"/>
        <w:rPr>
          <w:rFonts w:ascii="Times New Roman" w:hAnsi="Times New Roman"/>
          <w:sz w:val="24"/>
          <w:szCs w:val="24"/>
          <w:lang w:val="en-US"/>
        </w:rPr>
      </w:pPr>
      <w:r w:rsidRPr="00816678">
        <w:rPr>
          <w:rFonts w:ascii="Times New Roman" w:hAnsi="Times New Roman"/>
          <w:noProof/>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3.5pt;height:226.5pt;visibility:visible">
            <v:imagedata r:id="rId5" o:title="" croptop="14050f" cropbottom="7848f" cropleft="2437f" cropright="17199f"/>
          </v:shape>
        </w:pict>
      </w:r>
    </w:p>
    <w:p w:rsidR="00C73D9E" w:rsidRPr="00E43BFA" w:rsidRDefault="00C73D9E" w:rsidP="00E43BFA">
      <w:pPr>
        <w:pStyle w:val="NoSpacing"/>
        <w:jc w:val="both"/>
        <w:rPr>
          <w:rFonts w:ascii="Times New Roman" w:hAnsi="Times New Roman"/>
          <w:sz w:val="24"/>
          <w:szCs w:val="24"/>
          <w:lang w:val="en-US"/>
        </w:rPr>
      </w:pP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Figure 1. Comparison of Control and Experimental Groups on Language Learning Outcomes</w:t>
      </w:r>
    </w:p>
    <w:p w:rsidR="00C73D9E" w:rsidRPr="00E43BFA" w:rsidRDefault="00C73D9E" w:rsidP="00E43BFA">
      <w:pPr>
        <w:pStyle w:val="NoSpacing"/>
        <w:jc w:val="both"/>
        <w:rPr>
          <w:rStyle w:val="Strong"/>
          <w:rFonts w:ascii="Times New Roman" w:hAnsi="Times New Roman"/>
          <w:sz w:val="24"/>
          <w:szCs w:val="24"/>
          <w:lang w:val="en-US"/>
        </w:rPr>
      </w:pPr>
    </w:p>
    <w:p w:rsidR="00C73D9E" w:rsidRDefault="00C73D9E" w:rsidP="00E43BFA">
      <w:pPr>
        <w:pStyle w:val="NoSpacing"/>
        <w:jc w:val="both"/>
        <w:rPr>
          <w:rStyle w:val="Strong"/>
          <w:rFonts w:ascii="Times New Roman" w:hAnsi="Times New Roman"/>
          <w:sz w:val="28"/>
          <w:szCs w:val="28"/>
          <w:lang w:val="en-US"/>
        </w:rPr>
      </w:pPr>
      <w:r w:rsidRPr="00916B37">
        <w:rPr>
          <w:rStyle w:val="Strong"/>
          <w:rFonts w:ascii="Times New Roman" w:hAnsi="Times New Roman"/>
          <w:sz w:val="28"/>
          <w:szCs w:val="28"/>
          <w:lang w:val="en-US"/>
        </w:rPr>
        <w:t>Discussion</w:t>
      </w:r>
    </w:p>
    <w:p w:rsidR="00C73D9E" w:rsidRPr="00E43BFA" w:rsidRDefault="00C73D9E" w:rsidP="00916B37">
      <w:pPr>
        <w:pStyle w:val="NoSpacing"/>
        <w:ind w:firstLine="708"/>
        <w:jc w:val="both"/>
        <w:rPr>
          <w:rFonts w:ascii="Times New Roman" w:hAnsi="Times New Roman"/>
          <w:sz w:val="24"/>
          <w:szCs w:val="24"/>
          <w:lang w:val="en-US"/>
        </w:rPr>
      </w:pPr>
      <w:r w:rsidRPr="00E43BFA">
        <w:rPr>
          <w:rFonts w:ascii="Times New Roman" w:hAnsi="Times New Roman"/>
          <w:sz w:val="24"/>
          <w:szCs w:val="24"/>
          <w:lang w:val="en-US"/>
        </w:rPr>
        <w:t>The research findings offer compelling evidence for the transformative potential of innovative methodologies in foreign language education within technical university contexts. Direct effects of the implemented strategies include improved learner engagement, more active language use, and the integration of communicative competence into students’ professional identities.</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Experimental data confirmed a statistically significant increase in academic performance among students exposed to interactive and digitally enriched learning environments. The 25.2% improvement in test results and the high levels of extracurricular language use underscore the functional relevance of the new methods. Students actively participated in cross-cultural exchanges, online forums, and even initiated communication in professional settings.</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Indirect impacts were also observed. The use of AI tools, gamification, and simulation-based assignments enhanced students’ digital literacy, critical thinking, and collaborative skills. These transferable competencies are vital for thriving in interdisciplinary and tech-driven work environments.</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The study’s conclusions are consistent with contemporary educational theories, especially those advocating for learner-centered instruction, gamified experiences, and situational learning. The practical results not only support these frameworks but also provide empirical validation specific to technical academic environments.</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However, a clear disconnect persists between the progressive aspirations of modern pedagogy and the conservative nature of many university curricula. Curriculum analysis highlighted a lack of integration of innovative elements into formal educational structures, indicating a need for policy reform and institutional support.</w:t>
      </w:r>
    </w:p>
    <w:p w:rsidR="00C73D9E" w:rsidRPr="007026FE" w:rsidRDefault="00C73D9E" w:rsidP="00E43BFA">
      <w:pPr>
        <w:pStyle w:val="NoSpacing"/>
        <w:jc w:val="both"/>
        <w:rPr>
          <w:rFonts w:ascii="Times New Roman" w:hAnsi="Times New Roman"/>
          <w:sz w:val="24"/>
          <w:szCs w:val="24"/>
          <w:lang w:val="en-US"/>
        </w:rPr>
      </w:pPr>
      <w:r w:rsidRPr="007026FE">
        <w:rPr>
          <w:rFonts w:ascii="Times New Roman" w:hAnsi="Times New Roman"/>
          <w:sz w:val="24"/>
          <w:szCs w:val="24"/>
          <w:lang w:val="en-US"/>
        </w:rPr>
        <w:t>Future research directions include:</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In-depth evaluation of individual digital and AI tools across various linguistic competencies;</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Development of scalable and adaptable models for integrating innovation into language teaching;</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Longitudinal studies assessing the sustained impact of these methods;</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Exploration of psychological and cultural dimensions of digital learning environments.</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In summary, the discussion underscores the need to recognize innovative language instruction as a strategic imperative rather than a pedagogical experiment. This shift is essential for equipping future professionals with the linguistic and cognitive tools necessary for success in a globalized world.</w:t>
      </w:r>
    </w:p>
    <w:p w:rsidR="00C73D9E" w:rsidRDefault="00C73D9E" w:rsidP="00E43BFA">
      <w:pPr>
        <w:pStyle w:val="NoSpacing"/>
        <w:jc w:val="both"/>
        <w:rPr>
          <w:rStyle w:val="Strong"/>
          <w:rFonts w:ascii="Times New Roman" w:hAnsi="Times New Roman"/>
          <w:sz w:val="28"/>
          <w:szCs w:val="28"/>
          <w:lang w:val="en-US"/>
        </w:rPr>
      </w:pPr>
    </w:p>
    <w:p w:rsidR="00C73D9E" w:rsidRDefault="00C73D9E" w:rsidP="00E43BFA">
      <w:pPr>
        <w:pStyle w:val="NoSpacing"/>
        <w:jc w:val="both"/>
        <w:rPr>
          <w:rStyle w:val="Strong"/>
          <w:rFonts w:ascii="Times New Roman" w:hAnsi="Times New Roman"/>
          <w:sz w:val="28"/>
          <w:szCs w:val="28"/>
          <w:lang w:val="en-US"/>
        </w:rPr>
      </w:pPr>
      <w:r w:rsidRPr="00916B37">
        <w:rPr>
          <w:rStyle w:val="Strong"/>
          <w:rFonts w:ascii="Times New Roman" w:hAnsi="Times New Roman"/>
          <w:sz w:val="28"/>
          <w:szCs w:val="28"/>
          <w:lang w:val="en-US"/>
        </w:rPr>
        <w:t>Conclusion</w:t>
      </w:r>
    </w:p>
    <w:p w:rsidR="00C73D9E" w:rsidRPr="00E43BFA" w:rsidRDefault="00C73D9E" w:rsidP="00916B37">
      <w:pPr>
        <w:pStyle w:val="NoSpacing"/>
        <w:ind w:firstLine="708"/>
        <w:jc w:val="both"/>
        <w:rPr>
          <w:rFonts w:ascii="Times New Roman" w:hAnsi="Times New Roman"/>
          <w:sz w:val="24"/>
          <w:szCs w:val="24"/>
          <w:lang w:val="en-US"/>
        </w:rPr>
      </w:pPr>
      <w:r w:rsidRPr="00E43BFA">
        <w:rPr>
          <w:rFonts w:ascii="Times New Roman" w:hAnsi="Times New Roman"/>
          <w:sz w:val="24"/>
          <w:szCs w:val="24"/>
          <w:lang w:val="en-US"/>
        </w:rPr>
        <w:t>This study has thoroughly examined and validated the effectiveness of innovative foreign language teaching methods in technical universities. Findings indicate that the integration of digital platforms, interactive formats, and creative instructional strategies significantly improves student motivation, language proficiency, and professional readiness.</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Through experimental implementation of gamification, simulations, case-based learning, and AI tools, the research demonstrates how these techniques foster interdisciplinary thinking, independent inquiry, and communicative confidence. Importantly, they position language learning within a realistic and applicable framework tailored to the technological and professional demands of modern education.</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The key conclusion is that innovative approaches should no longer be viewed as supplementary enhancements, but as foundational elements of contemporary language pedagogy. Their successful adoption necessitates systemic changes, including curriculum redesign, faculty training, and digital infrastructure development.</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Beyond empirical confirmation, this study contributes to a growing body of knowledge that supports transformative educational practices. It identifies practical pathways for aligning language instruction with evolving learner needs and labor market expectations.</w:t>
      </w:r>
    </w:p>
    <w:p w:rsidR="00C73D9E" w:rsidRPr="00E43BFA" w:rsidRDefault="00C73D9E" w:rsidP="00E43BFA">
      <w:pPr>
        <w:pStyle w:val="NoSpacing"/>
        <w:jc w:val="both"/>
        <w:rPr>
          <w:rFonts w:ascii="Times New Roman" w:hAnsi="Times New Roman"/>
          <w:sz w:val="24"/>
          <w:szCs w:val="24"/>
          <w:lang w:val="en-US"/>
        </w:rPr>
      </w:pPr>
      <w:r w:rsidRPr="00E43BFA">
        <w:rPr>
          <w:rFonts w:ascii="Times New Roman" w:hAnsi="Times New Roman"/>
          <w:sz w:val="24"/>
          <w:szCs w:val="24"/>
          <w:lang w:val="en-US"/>
        </w:rPr>
        <w:t>Future initiatives should prioritize adaptive methodologies, long-term impact evaluation, and cross-disciplinary collaboration to ensure that language education remains relevant, inclusive, and effective in equipping technical students for global engagement.</w:t>
      </w:r>
    </w:p>
    <w:p w:rsidR="00C73D9E" w:rsidRPr="007026FE" w:rsidRDefault="00C73D9E" w:rsidP="00E43BFA">
      <w:pPr>
        <w:pStyle w:val="NoSpacing"/>
        <w:jc w:val="both"/>
        <w:rPr>
          <w:rStyle w:val="Strong"/>
          <w:rFonts w:ascii="Times New Roman" w:hAnsi="Times New Roman"/>
          <w:b w:val="0"/>
          <w:bCs w:val="0"/>
          <w:sz w:val="24"/>
          <w:szCs w:val="24"/>
          <w:lang w:val="en-US"/>
        </w:rPr>
      </w:pPr>
    </w:p>
    <w:p w:rsidR="00C73D9E" w:rsidRPr="007026FE" w:rsidRDefault="00C73D9E" w:rsidP="00E43BFA">
      <w:pPr>
        <w:pStyle w:val="NoSpacing"/>
        <w:jc w:val="both"/>
        <w:rPr>
          <w:rFonts w:ascii="Times New Roman" w:hAnsi="Times New Roman"/>
          <w:sz w:val="24"/>
          <w:szCs w:val="24"/>
          <w:lang w:val="en-US"/>
        </w:rPr>
      </w:pPr>
      <w:r w:rsidRPr="007026FE">
        <w:rPr>
          <w:rStyle w:val="Strong"/>
          <w:rFonts w:ascii="Times New Roman" w:hAnsi="Times New Roman"/>
          <w:sz w:val="24"/>
          <w:szCs w:val="24"/>
          <w:lang w:val="en-US"/>
        </w:rPr>
        <w:t>References</w:t>
      </w:r>
    </w:p>
    <w:p w:rsidR="00C73D9E" w:rsidRPr="00E43BFA" w:rsidRDefault="00C73D9E" w:rsidP="00E43BFA">
      <w:pPr>
        <w:pStyle w:val="NoSpacing"/>
        <w:jc w:val="both"/>
        <w:rPr>
          <w:rFonts w:ascii="Times New Roman" w:hAnsi="Times New Roman"/>
          <w:sz w:val="24"/>
          <w:szCs w:val="24"/>
          <w:lang w:val="en-US" w:eastAsia="ru-RU"/>
        </w:rPr>
      </w:pPr>
      <w:r w:rsidRPr="00E43BFA">
        <w:rPr>
          <w:rFonts w:ascii="Times New Roman" w:hAnsi="Times New Roman"/>
          <w:sz w:val="24"/>
          <w:szCs w:val="24"/>
          <w:lang w:val="en-US" w:eastAsia="ru-RU"/>
        </w:rPr>
        <w:t xml:space="preserve">[1] V. V. Kotenko, "Problems and Opportunities of Using Augmented and Virtual Reality Technologies in Foreign Language Teaching," </w:t>
      </w:r>
      <w:r w:rsidRPr="00E43BFA">
        <w:rPr>
          <w:rFonts w:ascii="Times New Roman" w:hAnsi="Times New Roman"/>
          <w:i/>
          <w:iCs/>
          <w:sz w:val="24"/>
          <w:szCs w:val="24"/>
          <w:lang w:val="en-US" w:eastAsia="ru-RU"/>
        </w:rPr>
        <w:t>Lesgaft University Scientific Notes</w:t>
      </w:r>
      <w:r w:rsidRPr="00E43BFA">
        <w:rPr>
          <w:rFonts w:ascii="Times New Roman" w:hAnsi="Times New Roman"/>
          <w:sz w:val="24"/>
          <w:szCs w:val="24"/>
          <w:lang w:val="en-US" w:eastAsia="ru-RU"/>
        </w:rPr>
        <w:t>, no. 3 (181), pp. 252–258, 2020. [Online resource].</w:t>
      </w:r>
    </w:p>
    <w:p w:rsidR="00C73D9E" w:rsidRPr="00E43BFA" w:rsidRDefault="00C73D9E" w:rsidP="00E43BFA">
      <w:pPr>
        <w:pStyle w:val="NoSpacing"/>
        <w:jc w:val="both"/>
        <w:rPr>
          <w:rFonts w:ascii="Times New Roman" w:hAnsi="Times New Roman"/>
          <w:sz w:val="24"/>
          <w:szCs w:val="24"/>
          <w:lang w:val="en-US" w:eastAsia="ru-RU"/>
        </w:rPr>
      </w:pPr>
      <w:r w:rsidRPr="00E43BFA">
        <w:rPr>
          <w:rFonts w:ascii="Times New Roman" w:hAnsi="Times New Roman"/>
          <w:sz w:val="24"/>
          <w:szCs w:val="24"/>
          <w:lang w:val="en-US" w:eastAsia="ru-RU"/>
        </w:rPr>
        <w:t xml:space="preserve">[2] E. V. Ignatova and O. F. Gabdrakhmanov, "Innovative Use of Infocommunication Technologies in a Blended Model of English Language Teaching for Students of Economic Specialties," </w:t>
      </w:r>
      <w:r w:rsidRPr="00E43BFA">
        <w:rPr>
          <w:rFonts w:ascii="Times New Roman" w:hAnsi="Times New Roman"/>
          <w:i/>
          <w:iCs/>
          <w:sz w:val="24"/>
          <w:szCs w:val="24"/>
          <w:lang w:val="en-US" w:eastAsia="ru-RU"/>
        </w:rPr>
        <w:t>Priority Directions of Science and Education Development</w:t>
      </w:r>
      <w:r w:rsidRPr="00E43BFA">
        <w:rPr>
          <w:rFonts w:ascii="Times New Roman" w:hAnsi="Times New Roman"/>
          <w:sz w:val="24"/>
          <w:szCs w:val="24"/>
          <w:lang w:val="en-US" w:eastAsia="ru-RU"/>
        </w:rPr>
        <w:t>, no. 2 (5). [Online resource]. Available: https://interactive-plus.ru/e-articles/138/Action138-9795.pdf. Accessed: Sep. 19, 2023.</w:t>
      </w:r>
    </w:p>
    <w:p w:rsidR="00C73D9E" w:rsidRPr="00E43BFA" w:rsidRDefault="00C73D9E" w:rsidP="00E43BFA">
      <w:pPr>
        <w:pStyle w:val="NoSpacing"/>
        <w:jc w:val="both"/>
        <w:rPr>
          <w:rFonts w:ascii="Times New Roman" w:hAnsi="Times New Roman"/>
          <w:sz w:val="24"/>
          <w:szCs w:val="24"/>
          <w:lang w:val="en-US" w:eastAsia="ru-RU"/>
        </w:rPr>
      </w:pPr>
      <w:r w:rsidRPr="00E43BFA">
        <w:rPr>
          <w:rFonts w:ascii="Times New Roman" w:hAnsi="Times New Roman"/>
          <w:sz w:val="24"/>
          <w:szCs w:val="24"/>
          <w:lang w:val="en-US" w:eastAsia="ru-RU"/>
        </w:rPr>
        <w:t xml:space="preserve">[3] L. K. Geikhman, "Interactive Communication Training as a Model of Intercultural Communication," </w:t>
      </w:r>
      <w:r w:rsidRPr="00E43BFA">
        <w:rPr>
          <w:rFonts w:ascii="Times New Roman" w:hAnsi="Times New Roman"/>
          <w:i/>
          <w:iCs/>
          <w:sz w:val="24"/>
          <w:szCs w:val="24"/>
          <w:lang w:val="en-US" w:eastAsia="ru-RU"/>
        </w:rPr>
        <w:t>Moscow State University Bulletin</w:t>
      </w:r>
      <w:r w:rsidRPr="00E43BFA">
        <w:rPr>
          <w:rFonts w:ascii="Times New Roman" w:hAnsi="Times New Roman"/>
          <w:sz w:val="24"/>
          <w:szCs w:val="24"/>
          <w:lang w:val="en-US" w:eastAsia="ru-RU"/>
        </w:rPr>
        <w:t>, Series 19, no. 3, p. 26, 2003.</w:t>
      </w:r>
    </w:p>
    <w:p w:rsidR="00C73D9E" w:rsidRPr="00E43BFA" w:rsidRDefault="00C73D9E" w:rsidP="00E43BFA">
      <w:pPr>
        <w:pStyle w:val="NoSpacing"/>
        <w:jc w:val="both"/>
        <w:rPr>
          <w:rFonts w:ascii="Times New Roman" w:hAnsi="Times New Roman"/>
          <w:sz w:val="24"/>
          <w:szCs w:val="24"/>
          <w:lang w:val="en-US" w:eastAsia="ru-RU"/>
        </w:rPr>
      </w:pPr>
      <w:r w:rsidRPr="00E43BFA">
        <w:rPr>
          <w:rFonts w:ascii="Times New Roman" w:hAnsi="Times New Roman"/>
          <w:sz w:val="24"/>
          <w:szCs w:val="24"/>
          <w:lang w:val="en-US" w:eastAsia="ru-RU"/>
        </w:rPr>
        <w:t xml:space="preserve">[4] E. I. Dmitrieva, "The Main Methodological Problem of Distance Foreign Language Learning via Internet Telecommunication Networks," </w:t>
      </w:r>
      <w:r w:rsidRPr="00E43BFA">
        <w:rPr>
          <w:rFonts w:ascii="Times New Roman" w:hAnsi="Times New Roman"/>
          <w:i/>
          <w:iCs/>
          <w:sz w:val="24"/>
          <w:szCs w:val="24"/>
          <w:lang w:val="en-US" w:eastAsia="ru-RU"/>
        </w:rPr>
        <w:t>Foreign Languages at School</w:t>
      </w:r>
      <w:r w:rsidRPr="00E43BFA">
        <w:rPr>
          <w:rFonts w:ascii="Times New Roman" w:hAnsi="Times New Roman"/>
          <w:sz w:val="24"/>
          <w:szCs w:val="24"/>
          <w:lang w:val="en-US" w:eastAsia="ru-RU"/>
        </w:rPr>
        <w:t>, no. 1, 1998.</w:t>
      </w:r>
    </w:p>
    <w:p w:rsidR="00C73D9E" w:rsidRPr="00E43BFA" w:rsidRDefault="00C73D9E" w:rsidP="00E43BFA">
      <w:pPr>
        <w:pStyle w:val="NoSpacing"/>
        <w:jc w:val="both"/>
        <w:rPr>
          <w:rFonts w:ascii="Times New Roman" w:hAnsi="Times New Roman"/>
          <w:sz w:val="24"/>
          <w:szCs w:val="24"/>
          <w:lang w:val="en-US" w:eastAsia="ru-RU"/>
        </w:rPr>
      </w:pPr>
      <w:r w:rsidRPr="00E43BFA">
        <w:rPr>
          <w:rFonts w:ascii="Times New Roman" w:hAnsi="Times New Roman"/>
          <w:sz w:val="24"/>
          <w:szCs w:val="24"/>
          <w:lang w:val="en-US" w:eastAsia="ru-RU"/>
        </w:rPr>
        <w:t xml:space="preserve">[5] L. N. Alekseeva, "Innovative Technologies as an Experiment Resource," </w:t>
      </w:r>
      <w:r w:rsidRPr="00E43BFA">
        <w:rPr>
          <w:rFonts w:ascii="Times New Roman" w:hAnsi="Times New Roman"/>
          <w:i/>
          <w:iCs/>
          <w:sz w:val="24"/>
          <w:szCs w:val="24"/>
          <w:lang w:val="en-US" w:eastAsia="ru-RU"/>
        </w:rPr>
        <w:t>Uchitel (The Teacher)</w:t>
      </w:r>
      <w:r w:rsidRPr="00E43BFA">
        <w:rPr>
          <w:rFonts w:ascii="Times New Roman" w:hAnsi="Times New Roman"/>
          <w:sz w:val="24"/>
          <w:szCs w:val="24"/>
          <w:lang w:val="en-US" w:eastAsia="ru-RU"/>
        </w:rPr>
        <w:t>, no. 3, p. 78, 2004.</w:t>
      </w:r>
    </w:p>
    <w:p w:rsidR="00C73D9E" w:rsidRPr="00E43BFA" w:rsidRDefault="00C73D9E" w:rsidP="00E43BFA">
      <w:pPr>
        <w:pStyle w:val="NoSpacing"/>
        <w:jc w:val="both"/>
        <w:rPr>
          <w:rFonts w:ascii="Times New Roman" w:hAnsi="Times New Roman"/>
          <w:sz w:val="24"/>
          <w:szCs w:val="24"/>
          <w:lang w:val="en-US" w:eastAsia="ru-RU"/>
        </w:rPr>
      </w:pPr>
      <w:r w:rsidRPr="00E43BFA">
        <w:rPr>
          <w:rFonts w:ascii="Times New Roman" w:hAnsi="Times New Roman"/>
          <w:sz w:val="24"/>
          <w:szCs w:val="24"/>
          <w:lang w:val="en-US" w:eastAsia="ru-RU"/>
        </w:rPr>
        <w:t xml:space="preserve">[6] N. A. Bonk, I. I. Levina, and I. A. Bonk, </w:t>
      </w:r>
      <w:r w:rsidRPr="00E43BFA">
        <w:rPr>
          <w:rFonts w:ascii="Times New Roman" w:hAnsi="Times New Roman"/>
          <w:i/>
          <w:iCs/>
          <w:sz w:val="24"/>
          <w:szCs w:val="24"/>
          <w:lang w:val="en-US" w:eastAsia="ru-RU"/>
        </w:rPr>
        <w:t>English Step by Step: In 2 Volumes</w:t>
      </w:r>
      <w:r w:rsidRPr="00E43BFA">
        <w:rPr>
          <w:rFonts w:ascii="Times New Roman" w:hAnsi="Times New Roman"/>
          <w:sz w:val="24"/>
          <w:szCs w:val="24"/>
          <w:lang w:val="en-US" w:eastAsia="ru-RU"/>
        </w:rPr>
        <w:t>, Moscow: Rosmen-Izdat, 2002, 523 p.</w:t>
      </w:r>
    </w:p>
    <w:p w:rsidR="00C73D9E" w:rsidRPr="00C07AD6" w:rsidRDefault="00C73D9E" w:rsidP="00C07AD6">
      <w:pPr>
        <w:pStyle w:val="NoSpacing"/>
        <w:jc w:val="both"/>
        <w:rPr>
          <w:rFonts w:ascii="Times New Roman" w:hAnsi="Times New Roman"/>
          <w:sz w:val="24"/>
          <w:szCs w:val="24"/>
          <w:lang w:val="en-US" w:eastAsia="ru-RU"/>
        </w:rPr>
      </w:pPr>
      <w:r w:rsidRPr="00C07AD6">
        <w:rPr>
          <w:rFonts w:ascii="Times New Roman" w:hAnsi="Times New Roman"/>
          <w:sz w:val="24"/>
          <w:szCs w:val="24"/>
          <w:lang w:val="en-US" w:eastAsia="ru-RU"/>
        </w:rPr>
        <w:t xml:space="preserve">[7] N. D. Galskova, </w:t>
      </w:r>
      <w:r w:rsidRPr="00C07AD6">
        <w:rPr>
          <w:rFonts w:ascii="Times New Roman" w:hAnsi="Times New Roman"/>
          <w:i/>
          <w:iCs/>
          <w:sz w:val="24"/>
          <w:szCs w:val="24"/>
          <w:lang w:val="en-US" w:eastAsia="ru-RU"/>
        </w:rPr>
        <w:t>Modern Methods of Foreign Language Teaching</w:t>
      </w:r>
      <w:r w:rsidRPr="00C07AD6">
        <w:rPr>
          <w:rFonts w:ascii="Times New Roman" w:hAnsi="Times New Roman"/>
          <w:sz w:val="24"/>
          <w:szCs w:val="24"/>
          <w:lang w:val="en-US" w:eastAsia="ru-RU"/>
        </w:rPr>
        <w:t>, Moscow: ARKTI, 2009, 192 p.</w:t>
      </w:r>
    </w:p>
    <w:p w:rsidR="00C73D9E" w:rsidRPr="00C07AD6" w:rsidRDefault="00C73D9E" w:rsidP="00C07AD6">
      <w:pPr>
        <w:pStyle w:val="NoSpacing"/>
        <w:jc w:val="both"/>
        <w:rPr>
          <w:rFonts w:ascii="Times New Roman" w:hAnsi="Times New Roman"/>
          <w:sz w:val="24"/>
          <w:szCs w:val="24"/>
          <w:lang w:val="en-US" w:eastAsia="ru-RU"/>
        </w:rPr>
      </w:pPr>
      <w:r w:rsidRPr="00C07AD6">
        <w:rPr>
          <w:rFonts w:ascii="Times New Roman" w:hAnsi="Times New Roman"/>
          <w:sz w:val="24"/>
          <w:szCs w:val="24"/>
          <w:lang w:val="en-US" w:eastAsia="ru-RU"/>
        </w:rPr>
        <w:t xml:space="preserve">[8] </w:t>
      </w:r>
      <w:r w:rsidRPr="00C07AD6">
        <w:rPr>
          <w:rFonts w:ascii="Times New Roman" w:hAnsi="Times New Roman"/>
          <w:sz w:val="24"/>
          <w:szCs w:val="24"/>
          <w:lang w:val="en-US"/>
        </w:rPr>
        <w:t xml:space="preserve">[3] E. I. Passov, </w:t>
      </w:r>
      <w:r w:rsidRPr="00C07AD6">
        <w:rPr>
          <w:rStyle w:val="Emphasis"/>
          <w:rFonts w:ascii="Times New Roman" w:hAnsi="Times New Roman"/>
          <w:sz w:val="24"/>
          <w:szCs w:val="24"/>
          <w:lang w:val="en-US"/>
        </w:rPr>
        <w:t>Program-Concept of Communicative Foreign Language Education: Development of Individuality in the Dialogue of Cultures</w:t>
      </w:r>
      <w:r w:rsidRPr="00C07AD6">
        <w:rPr>
          <w:rFonts w:ascii="Times New Roman" w:hAnsi="Times New Roman"/>
          <w:sz w:val="24"/>
          <w:szCs w:val="24"/>
          <w:lang w:val="en-US"/>
        </w:rPr>
        <w:t>, Moscow: Prosveshchenie, 2000.</w:t>
      </w:r>
    </w:p>
    <w:p w:rsidR="00C73D9E" w:rsidRPr="00C07AD6" w:rsidRDefault="00C73D9E" w:rsidP="00C07AD6">
      <w:pPr>
        <w:pStyle w:val="NoSpacing"/>
        <w:jc w:val="both"/>
        <w:rPr>
          <w:rFonts w:ascii="Times New Roman" w:hAnsi="Times New Roman"/>
          <w:sz w:val="24"/>
          <w:szCs w:val="24"/>
          <w:lang w:val="en-US" w:eastAsia="ru-RU"/>
        </w:rPr>
      </w:pPr>
      <w:r w:rsidRPr="00C07AD6">
        <w:rPr>
          <w:rFonts w:ascii="Times New Roman" w:hAnsi="Times New Roman"/>
          <w:sz w:val="24"/>
          <w:szCs w:val="24"/>
          <w:lang w:val="en-US" w:eastAsia="ru-RU"/>
        </w:rPr>
        <w:t xml:space="preserve">[9] A. G. Kushnirenko, A. G. Leonov, and M. A. Kuzmenko, "What is the Internet? Information and Communication Technologies in Education," </w:t>
      </w:r>
      <w:r w:rsidRPr="00C07AD6">
        <w:rPr>
          <w:rFonts w:ascii="Times New Roman" w:hAnsi="Times New Roman"/>
          <w:i/>
          <w:iCs/>
          <w:sz w:val="24"/>
          <w:szCs w:val="24"/>
          <w:lang w:val="en-US" w:eastAsia="ru-RU"/>
        </w:rPr>
        <w:t>Informatics and Education</w:t>
      </w:r>
      <w:r w:rsidRPr="00C07AD6">
        <w:rPr>
          <w:rFonts w:ascii="Times New Roman" w:hAnsi="Times New Roman"/>
          <w:sz w:val="24"/>
          <w:szCs w:val="24"/>
          <w:lang w:val="en-US" w:eastAsia="ru-RU"/>
        </w:rPr>
        <w:t>, no. 5–7, 1998.</w:t>
      </w:r>
    </w:p>
    <w:p w:rsidR="00C73D9E" w:rsidRPr="00C07AD6" w:rsidRDefault="00C73D9E" w:rsidP="00C07AD6">
      <w:pPr>
        <w:pStyle w:val="NoSpacing"/>
        <w:jc w:val="both"/>
        <w:rPr>
          <w:rFonts w:ascii="Times New Roman" w:hAnsi="Times New Roman"/>
          <w:sz w:val="24"/>
          <w:szCs w:val="24"/>
          <w:lang w:val="en-US" w:eastAsia="ru-RU"/>
        </w:rPr>
      </w:pPr>
      <w:r w:rsidRPr="00C07AD6">
        <w:rPr>
          <w:rFonts w:ascii="Times New Roman" w:hAnsi="Times New Roman"/>
          <w:sz w:val="24"/>
          <w:szCs w:val="24"/>
          <w:lang w:val="en-US" w:eastAsia="ru-RU"/>
        </w:rPr>
        <w:t xml:space="preserve">[10] J. C. Richards, </w:t>
      </w:r>
      <w:r w:rsidRPr="00C07AD6">
        <w:rPr>
          <w:rFonts w:ascii="Times New Roman" w:hAnsi="Times New Roman"/>
          <w:i/>
          <w:iCs/>
          <w:sz w:val="24"/>
          <w:szCs w:val="24"/>
          <w:lang w:val="en-US" w:eastAsia="ru-RU"/>
        </w:rPr>
        <w:t>The Language Teaching Matrix</w:t>
      </w:r>
      <w:r w:rsidRPr="00C07AD6">
        <w:rPr>
          <w:rFonts w:ascii="Times New Roman" w:hAnsi="Times New Roman"/>
          <w:sz w:val="24"/>
          <w:szCs w:val="24"/>
          <w:lang w:val="en-US" w:eastAsia="ru-RU"/>
        </w:rPr>
        <w:t>, Cambridge: Cambridge University Press, 1990.</w:t>
      </w:r>
    </w:p>
    <w:p w:rsidR="00C73D9E" w:rsidRPr="00C07AD6" w:rsidRDefault="00C73D9E" w:rsidP="00C07AD6">
      <w:pPr>
        <w:pStyle w:val="NoSpacing"/>
        <w:jc w:val="both"/>
        <w:rPr>
          <w:rFonts w:ascii="Times New Roman" w:hAnsi="Times New Roman"/>
          <w:sz w:val="24"/>
          <w:szCs w:val="24"/>
          <w:lang w:val="en-US" w:eastAsia="ru-RU"/>
        </w:rPr>
      </w:pPr>
      <w:r w:rsidRPr="00C07AD6">
        <w:rPr>
          <w:rFonts w:ascii="Times New Roman" w:hAnsi="Times New Roman"/>
          <w:sz w:val="24"/>
          <w:szCs w:val="24"/>
          <w:lang w:val="en-US" w:eastAsia="ru-RU"/>
        </w:rPr>
        <w:t xml:space="preserve">[11] M. Prensky, "Digital Natives, Digital Immigrants," </w:t>
      </w:r>
      <w:r w:rsidRPr="00C07AD6">
        <w:rPr>
          <w:rFonts w:ascii="Times New Roman" w:hAnsi="Times New Roman"/>
          <w:i/>
          <w:iCs/>
          <w:sz w:val="24"/>
          <w:szCs w:val="24"/>
          <w:lang w:val="en-US" w:eastAsia="ru-RU"/>
        </w:rPr>
        <w:t>On the Horizon</w:t>
      </w:r>
      <w:r w:rsidRPr="00C07AD6">
        <w:rPr>
          <w:rFonts w:ascii="Times New Roman" w:hAnsi="Times New Roman"/>
          <w:sz w:val="24"/>
          <w:szCs w:val="24"/>
          <w:lang w:val="en-US" w:eastAsia="ru-RU"/>
        </w:rPr>
        <w:t>, vol. 9, no. 5, 2001. [Online]. Available: https://www.marcprensky.com/writing/Prensky%20-%20Digital%20Natives,%20Digital%20Immigrants%20-%20Part1.pdf</w:t>
      </w:r>
    </w:p>
    <w:p w:rsidR="00C73D9E" w:rsidRPr="00C07AD6" w:rsidRDefault="00C73D9E" w:rsidP="00C07AD6">
      <w:pPr>
        <w:pStyle w:val="NoSpacing"/>
        <w:jc w:val="both"/>
        <w:rPr>
          <w:rStyle w:val="Strong"/>
          <w:rFonts w:ascii="Times New Roman" w:hAnsi="Times New Roman"/>
          <w:b w:val="0"/>
          <w:bCs w:val="0"/>
          <w:sz w:val="24"/>
          <w:szCs w:val="24"/>
          <w:lang w:val="en-US"/>
        </w:rPr>
      </w:pPr>
    </w:p>
    <w:p w:rsidR="00C73D9E" w:rsidRPr="00C07AD6" w:rsidRDefault="00C73D9E" w:rsidP="00C07AD6">
      <w:pPr>
        <w:pStyle w:val="NoSpacing"/>
        <w:jc w:val="both"/>
        <w:rPr>
          <w:rStyle w:val="Strong"/>
          <w:rFonts w:ascii="Times New Roman" w:hAnsi="Times New Roman"/>
          <w:b w:val="0"/>
          <w:bCs w:val="0"/>
          <w:sz w:val="24"/>
          <w:szCs w:val="24"/>
          <w:lang w:val="en-US"/>
        </w:rPr>
      </w:pPr>
    </w:p>
    <w:p w:rsidR="00C73D9E" w:rsidRPr="00E43BFA" w:rsidRDefault="00C73D9E" w:rsidP="00E43BFA">
      <w:pPr>
        <w:pStyle w:val="NoSpacing"/>
        <w:jc w:val="both"/>
        <w:rPr>
          <w:rStyle w:val="Strong"/>
          <w:rFonts w:ascii="Times New Roman" w:hAnsi="Times New Roman"/>
          <w:b w:val="0"/>
          <w:bCs w:val="0"/>
          <w:sz w:val="24"/>
          <w:szCs w:val="24"/>
          <w:lang w:val="en-US"/>
        </w:rPr>
      </w:pPr>
    </w:p>
    <w:sectPr w:rsidR="00C73D9E" w:rsidRPr="00E43BFA" w:rsidSect="008413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F1A1E"/>
    <w:multiLevelType w:val="multilevel"/>
    <w:tmpl w:val="69FEB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871BC5"/>
    <w:multiLevelType w:val="multilevel"/>
    <w:tmpl w:val="1B9A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1E42CB"/>
    <w:multiLevelType w:val="multilevel"/>
    <w:tmpl w:val="2FD09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95252C"/>
    <w:multiLevelType w:val="multilevel"/>
    <w:tmpl w:val="6906A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EC04CF"/>
    <w:multiLevelType w:val="multilevel"/>
    <w:tmpl w:val="769E0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7B25EF"/>
    <w:multiLevelType w:val="multilevel"/>
    <w:tmpl w:val="DB864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DB7979"/>
    <w:multiLevelType w:val="multilevel"/>
    <w:tmpl w:val="DB00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8711BF"/>
    <w:multiLevelType w:val="multilevel"/>
    <w:tmpl w:val="E892ED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0D35E19"/>
    <w:multiLevelType w:val="multilevel"/>
    <w:tmpl w:val="5A9C7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1C3981"/>
    <w:multiLevelType w:val="multilevel"/>
    <w:tmpl w:val="B64AB9C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51B135A"/>
    <w:multiLevelType w:val="multilevel"/>
    <w:tmpl w:val="25904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DB10FA"/>
    <w:multiLevelType w:val="multilevel"/>
    <w:tmpl w:val="18886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1C075D"/>
    <w:multiLevelType w:val="multilevel"/>
    <w:tmpl w:val="71C2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5F3707"/>
    <w:multiLevelType w:val="multilevel"/>
    <w:tmpl w:val="819E1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C416F3"/>
    <w:multiLevelType w:val="multilevel"/>
    <w:tmpl w:val="1C184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8379F3"/>
    <w:multiLevelType w:val="multilevel"/>
    <w:tmpl w:val="673A7E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FC2EB1"/>
    <w:multiLevelType w:val="multilevel"/>
    <w:tmpl w:val="F2FA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CD7F66"/>
    <w:multiLevelType w:val="multilevel"/>
    <w:tmpl w:val="920C577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3C81D25"/>
    <w:multiLevelType w:val="multilevel"/>
    <w:tmpl w:val="8B5A7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EA7E26"/>
    <w:multiLevelType w:val="multilevel"/>
    <w:tmpl w:val="A07E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8"/>
  </w:num>
  <w:num w:numId="3">
    <w:abstractNumId w:val="8"/>
  </w:num>
  <w:num w:numId="4">
    <w:abstractNumId w:val="2"/>
  </w:num>
  <w:num w:numId="5">
    <w:abstractNumId w:val="19"/>
  </w:num>
  <w:num w:numId="6">
    <w:abstractNumId w:val="16"/>
  </w:num>
  <w:num w:numId="7">
    <w:abstractNumId w:val="15"/>
  </w:num>
  <w:num w:numId="8">
    <w:abstractNumId w:val="4"/>
  </w:num>
  <w:num w:numId="9">
    <w:abstractNumId w:val="1"/>
  </w:num>
  <w:num w:numId="10">
    <w:abstractNumId w:val="0"/>
  </w:num>
  <w:num w:numId="11">
    <w:abstractNumId w:val="13"/>
  </w:num>
  <w:num w:numId="12">
    <w:abstractNumId w:val="5"/>
  </w:num>
  <w:num w:numId="13">
    <w:abstractNumId w:val="9"/>
  </w:num>
  <w:num w:numId="14">
    <w:abstractNumId w:val="11"/>
  </w:num>
  <w:num w:numId="15">
    <w:abstractNumId w:val="3"/>
  </w:num>
  <w:num w:numId="16">
    <w:abstractNumId w:val="17"/>
  </w:num>
  <w:num w:numId="17">
    <w:abstractNumId w:val="14"/>
  </w:num>
  <w:num w:numId="18">
    <w:abstractNumId w:val="10"/>
  </w:num>
  <w:num w:numId="19">
    <w:abstractNumId w:val="7"/>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0DFE"/>
    <w:rsid w:val="0005049A"/>
    <w:rsid w:val="00086896"/>
    <w:rsid w:val="002D15F9"/>
    <w:rsid w:val="00354EFD"/>
    <w:rsid w:val="00406B8E"/>
    <w:rsid w:val="00493989"/>
    <w:rsid w:val="004B4449"/>
    <w:rsid w:val="00551899"/>
    <w:rsid w:val="00624AE2"/>
    <w:rsid w:val="00634A45"/>
    <w:rsid w:val="00680D03"/>
    <w:rsid w:val="007026FE"/>
    <w:rsid w:val="00730DFE"/>
    <w:rsid w:val="00816678"/>
    <w:rsid w:val="008413A4"/>
    <w:rsid w:val="0087128E"/>
    <w:rsid w:val="00890C2F"/>
    <w:rsid w:val="008A1979"/>
    <w:rsid w:val="00911ED3"/>
    <w:rsid w:val="00916B37"/>
    <w:rsid w:val="0095123D"/>
    <w:rsid w:val="009A04F4"/>
    <w:rsid w:val="009A1AD6"/>
    <w:rsid w:val="009D42BC"/>
    <w:rsid w:val="00A46AC9"/>
    <w:rsid w:val="00AE578C"/>
    <w:rsid w:val="00B2746A"/>
    <w:rsid w:val="00C07AD6"/>
    <w:rsid w:val="00C73D9E"/>
    <w:rsid w:val="00D60B7F"/>
    <w:rsid w:val="00DE20F9"/>
    <w:rsid w:val="00E05053"/>
    <w:rsid w:val="00E43BFA"/>
    <w:rsid w:val="00EC4F36"/>
    <w:rsid w:val="00EF6C9C"/>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3A4"/>
    <w:pPr>
      <w:spacing w:after="160" w:line="259" w:lineRule="auto"/>
    </w:pPr>
    <w:rPr>
      <w:lang w:val="ru-RU"/>
    </w:rPr>
  </w:style>
  <w:style w:type="paragraph" w:styleId="Heading3">
    <w:name w:val="heading 3"/>
    <w:basedOn w:val="Normal"/>
    <w:link w:val="Heading3Char"/>
    <w:uiPriority w:val="99"/>
    <w:qFormat/>
    <w:rsid w:val="00730DFE"/>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Heading4">
    <w:name w:val="heading 4"/>
    <w:basedOn w:val="Normal"/>
    <w:next w:val="Normal"/>
    <w:link w:val="Heading4Char"/>
    <w:uiPriority w:val="99"/>
    <w:qFormat/>
    <w:rsid w:val="00624AE2"/>
    <w:pPr>
      <w:keepNext/>
      <w:keepLines/>
      <w:spacing w:before="40" w:after="0"/>
      <w:outlineLvl w:val="3"/>
    </w:pPr>
    <w:rPr>
      <w:rFonts w:ascii="Calibri Light" w:eastAsia="Times New Roman" w:hAnsi="Calibri Light"/>
      <w:i/>
      <w:iCs/>
      <w:color w:val="2F549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30DFE"/>
    <w:rPr>
      <w:rFonts w:ascii="Times New Roman" w:hAnsi="Times New Roman" w:cs="Times New Roman"/>
      <w:b/>
      <w:bCs/>
      <w:sz w:val="27"/>
      <w:szCs w:val="27"/>
      <w:lang w:eastAsia="ru-RU"/>
    </w:rPr>
  </w:style>
  <w:style w:type="character" w:customStyle="1" w:styleId="Heading4Char">
    <w:name w:val="Heading 4 Char"/>
    <w:basedOn w:val="DefaultParagraphFont"/>
    <w:link w:val="Heading4"/>
    <w:uiPriority w:val="99"/>
    <w:semiHidden/>
    <w:locked/>
    <w:rsid w:val="00624AE2"/>
    <w:rPr>
      <w:rFonts w:ascii="Calibri Light" w:hAnsi="Calibri Light" w:cs="Times New Roman"/>
      <w:i/>
      <w:iCs/>
      <w:color w:val="2F5496"/>
    </w:rPr>
  </w:style>
  <w:style w:type="character" w:styleId="Strong">
    <w:name w:val="Strong"/>
    <w:basedOn w:val="DefaultParagraphFont"/>
    <w:uiPriority w:val="99"/>
    <w:qFormat/>
    <w:rsid w:val="00730DFE"/>
    <w:rPr>
      <w:rFonts w:cs="Times New Roman"/>
      <w:b/>
      <w:bCs/>
    </w:rPr>
  </w:style>
  <w:style w:type="paragraph" w:styleId="NormalWeb">
    <w:name w:val="Normal (Web)"/>
    <w:basedOn w:val="Normal"/>
    <w:uiPriority w:val="99"/>
    <w:rsid w:val="00730DFE"/>
    <w:pPr>
      <w:spacing w:before="100" w:beforeAutospacing="1" w:after="100" w:afterAutospacing="1" w:line="240" w:lineRule="auto"/>
    </w:pPr>
    <w:rPr>
      <w:rFonts w:ascii="Times New Roman" w:eastAsia="Times New Roman" w:hAnsi="Times New Roman"/>
      <w:sz w:val="24"/>
      <w:szCs w:val="24"/>
      <w:lang w:eastAsia="ru-RU"/>
    </w:rPr>
  </w:style>
  <w:style w:type="paragraph" w:styleId="NoSpacing">
    <w:name w:val="No Spacing"/>
    <w:uiPriority w:val="99"/>
    <w:qFormat/>
    <w:rsid w:val="0095123D"/>
    <w:rPr>
      <w:lang w:val="ru-RU"/>
    </w:rPr>
  </w:style>
  <w:style w:type="paragraph" w:customStyle="1" w:styleId="Default">
    <w:name w:val="Default"/>
    <w:uiPriority w:val="99"/>
    <w:rsid w:val="0005049A"/>
    <w:pPr>
      <w:autoSpaceDE w:val="0"/>
      <w:autoSpaceDN w:val="0"/>
      <w:adjustRightInd w:val="0"/>
    </w:pPr>
    <w:rPr>
      <w:rFonts w:ascii="Times New Roman" w:hAnsi="Times New Roman"/>
      <w:color w:val="000000"/>
      <w:sz w:val="24"/>
      <w:szCs w:val="24"/>
      <w:lang w:val="ru-RU"/>
    </w:rPr>
  </w:style>
  <w:style w:type="character" w:styleId="Emphasis">
    <w:name w:val="Emphasis"/>
    <w:basedOn w:val="DefaultParagraphFont"/>
    <w:uiPriority w:val="99"/>
    <w:qFormat/>
    <w:rsid w:val="00E43BFA"/>
    <w:rPr>
      <w:rFonts w:cs="Times New Roman"/>
      <w:i/>
      <w:iCs/>
    </w:rPr>
  </w:style>
  <w:style w:type="table" w:styleId="TableGrid">
    <w:name w:val="Table Grid"/>
    <w:basedOn w:val="TableNormal"/>
    <w:uiPriority w:val="99"/>
    <w:rsid w:val="0008689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6450023">
      <w:marLeft w:val="0"/>
      <w:marRight w:val="0"/>
      <w:marTop w:val="0"/>
      <w:marBottom w:val="0"/>
      <w:divBdr>
        <w:top w:val="none" w:sz="0" w:space="0" w:color="auto"/>
        <w:left w:val="none" w:sz="0" w:space="0" w:color="auto"/>
        <w:bottom w:val="none" w:sz="0" w:space="0" w:color="auto"/>
        <w:right w:val="none" w:sz="0" w:space="0" w:color="auto"/>
      </w:divBdr>
    </w:div>
    <w:div w:id="596450024">
      <w:marLeft w:val="0"/>
      <w:marRight w:val="0"/>
      <w:marTop w:val="0"/>
      <w:marBottom w:val="0"/>
      <w:divBdr>
        <w:top w:val="none" w:sz="0" w:space="0" w:color="auto"/>
        <w:left w:val="none" w:sz="0" w:space="0" w:color="auto"/>
        <w:bottom w:val="none" w:sz="0" w:space="0" w:color="auto"/>
        <w:right w:val="none" w:sz="0" w:space="0" w:color="auto"/>
      </w:divBdr>
    </w:div>
    <w:div w:id="596450025">
      <w:marLeft w:val="0"/>
      <w:marRight w:val="0"/>
      <w:marTop w:val="0"/>
      <w:marBottom w:val="0"/>
      <w:divBdr>
        <w:top w:val="none" w:sz="0" w:space="0" w:color="auto"/>
        <w:left w:val="none" w:sz="0" w:space="0" w:color="auto"/>
        <w:bottom w:val="none" w:sz="0" w:space="0" w:color="auto"/>
        <w:right w:val="none" w:sz="0" w:space="0" w:color="auto"/>
      </w:divBdr>
    </w:div>
    <w:div w:id="596450026">
      <w:marLeft w:val="0"/>
      <w:marRight w:val="0"/>
      <w:marTop w:val="0"/>
      <w:marBottom w:val="0"/>
      <w:divBdr>
        <w:top w:val="none" w:sz="0" w:space="0" w:color="auto"/>
        <w:left w:val="none" w:sz="0" w:space="0" w:color="auto"/>
        <w:bottom w:val="none" w:sz="0" w:space="0" w:color="auto"/>
        <w:right w:val="none" w:sz="0" w:space="0" w:color="auto"/>
      </w:divBdr>
    </w:div>
    <w:div w:id="596450027">
      <w:marLeft w:val="0"/>
      <w:marRight w:val="0"/>
      <w:marTop w:val="0"/>
      <w:marBottom w:val="0"/>
      <w:divBdr>
        <w:top w:val="none" w:sz="0" w:space="0" w:color="auto"/>
        <w:left w:val="none" w:sz="0" w:space="0" w:color="auto"/>
        <w:bottom w:val="none" w:sz="0" w:space="0" w:color="auto"/>
        <w:right w:val="none" w:sz="0" w:space="0" w:color="auto"/>
      </w:divBdr>
    </w:div>
    <w:div w:id="596450028">
      <w:marLeft w:val="0"/>
      <w:marRight w:val="0"/>
      <w:marTop w:val="0"/>
      <w:marBottom w:val="0"/>
      <w:divBdr>
        <w:top w:val="none" w:sz="0" w:space="0" w:color="auto"/>
        <w:left w:val="none" w:sz="0" w:space="0" w:color="auto"/>
        <w:bottom w:val="none" w:sz="0" w:space="0" w:color="auto"/>
        <w:right w:val="none" w:sz="0" w:space="0" w:color="auto"/>
      </w:divBdr>
    </w:div>
    <w:div w:id="596450029">
      <w:marLeft w:val="0"/>
      <w:marRight w:val="0"/>
      <w:marTop w:val="0"/>
      <w:marBottom w:val="0"/>
      <w:divBdr>
        <w:top w:val="none" w:sz="0" w:space="0" w:color="auto"/>
        <w:left w:val="none" w:sz="0" w:space="0" w:color="auto"/>
        <w:bottom w:val="none" w:sz="0" w:space="0" w:color="auto"/>
        <w:right w:val="none" w:sz="0" w:space="0" w:color="auto"/>
      </w:divBdr>
    </w:div>
    <w:div w:id="596450030">
      <w:marLeft w:val="0"/>
      <w:marRight w:val="0"/>
      <w:marTop w:val="0"/>
      <w:marBottom w:val="0"/>
      <w:divBdr>
        <w:top w:val="none" w:sz="0" w:space="0" w:color="auto"/>
        <w:left w:val="none" w:sz="0" w:space="0" w:color="auto"/>
        <w:bottom w:val="none" w:sz="0" w:space="0" w:color="auto"/>
        <w:right w:val="none" w:sz="0" w:space="0" w:color="auto"/>
      </w:divBdr>
    </w:div>
    <w:div w:id="596450031">
      <w:marLeft w:val="0"/>
      <w:marRight w:val="0"/>
      <w:marTop w:val="0"/>
      <w:marBottom w:val="0"/>
      <w:divBdr>
        <w:top w:val="none" w:sz="0" w:space="0" w:color="auto"/>
        <w:left w:val="none" w:sz="0" w:space="0" w:color="auto"/>
        <w:bottom w:val="none" w:sz="0" w:space="0" w:color="auto"/>
        <w:right w:val="none" w:sz="0" w:space="0" w:color="auto"/>
      </w:divBdr>
    </w:div>
    <w:div w:id="596450032">
      <w:marLeft w:val="0"/>
      <w:marRight w:val="0"/>
      <w:marTop w:val="0"/>
      <w:marBottom w:val="0"/>
      <w:divBdr>
        <w:top w:val="none" w:sz="0" w:space="0" w:color="auto"/>
        <w:left w:val="none" w:sz="0" w:space="0" w:color="auto"/>
        <w:bottom w:val="none" w:sz="0" w:space="0" w:color="auto"/>
        <w:right w:val="none" w:sz="0" w:space="0" w:color="auto"/>
      </w:divBdr>
    </w:div>
    <w:div w:id="596450033">
      <w:marLeft w:val="0"/>
      <w:marRight w:val="0"/>
      <w:marTop w:val="0"/>
      <w:marBottom w:val="0"/>
      <w:divBdr>
        <w:top w:val="none" w:sz="0" w:space="0" w:color="auto"/>
        <w:left w:val="none" w:sz="0" w:space="0" w:color="auto"/>
        <w:bottom w:val="none" w:sz="0" w:space="0" w:color="auto"/>
        <w:right w:val="none" w:sz="0" w:space="0" w:color="auto"/>
      </w:divBdr>
    </w:div>
    <w:div w:id="596450034">
      <w:marLeft w:val="0"/>
      <w:marRight w:val="0"/>
      <w:marTop w:val="0"/>
      <w:marBottom w:val="0"/>
      <w:divBdr>
        <w:top w:val="none" w:sz="0" w:space="0" w:color="auto"/>
        <w:left w:val="none" w:sz="0" w:space="0" w:color="auto"/>
        <w:bottom w:val="none" w:sz="0" w:space="0" w:color="auto"/>
        <w:right w:val="none" w:sz="0" w:space="0" w:color="auto"/>
      </w:divBdr>
    </w:div>
    <w:div w:id="596450035">
      <w:marLeft w:val="0"/>
      <w:marRight w:val="0"/>
      <w:marTop w:val="0"/>
      <w:marBottom w:val="0"/>
      <w:divBdr>
        <w:top w:val="none" w:sz="0" w:space="0" w:color="auto"/>
        <w:left w:val="none" w:sz="0" w:space="0" w:color="auto"/>
        <w:bottom w:val="none" w:sz="0" w:space="0" w:color="auto"/>
        <w:right w:val="none" w:sz="0" w:space="0" w:color="auto"/>
      </w:divBdr>
    </w:div>
    <w:div w:id="596450036">
      <w:marLeft w:val="0"/>
      <w:marRight w:val="0"/>
      <w:marTop w:val="0"/>
      <w:marBottom w:val="0"/>
      <w:divBdr>
        <w:top w:val="none" w:sz="0" w:space="0" w:color="auto"/>
        <w:left w:val="none" w:sz="0" w:space="0" w:color="auto"/>
        <w:bottom w:val="none" w:sz="0" w:space="0" w:color="auto"/>
        <w:right w:val="none" w:sz="0" w:space="0" w:color="auto"/>
      </w:divBdr>
    </w:div>
    <w:div w:id="596450037">
      <w:marLeft w:val="0"/>
      <w:marRight w:val="0"/>
      <w:marTop w:val="0"/>
      <w:marBottom w:val="0"/>
      <w:divBdr>
        <w:top w:val="none" w:sz="0" w:space="0" w:color="auto"/>
        <w:left w:val="none" w:sz="0" w:space="0" w:color="auto"/>
        <w:bottom w:val="none" w:sz="0" w:space="0" w:color="auto"/>
        <w:right w:val="none" w:sz="0" w:space="0" w:color="auto"/>
      </w:divBdr>
    </w:div>
    <w:div w:id="596450038">
      <w:marLeft w:val="0"/>
      <w:marRight w:val="0"/>
      <w:marTop w:val="0"/>
      <w:marBottom w:val="0"/>
      <w:divBdr>
        <w:top w:val="none" w:sz="0" w:space="0" w:color="auto"/>
        <w:left w:val="none" w:sz="0" w:space="0" w:color="auto"/>
        <w:bottom w:val="none" w:sz="0" w:space="0" w:color="auto"/>
        <w:right w:val="none" w:sz="0" w:space="0" w:color="auto"/>
      </w:divBdr>
    </w:div>
    <w:div w:id="596450039">
      <w:marLeft w:val="0"/>
      <w:marRight w:val="0"/>
      <w:marTop w:val="0"/>
      <w:marBottom w:val="0"/>
      <w:divBdr>
        <w:top w:val="none" w:sz="0" w:space="0" w:color="auto"/>
        <w:left w:val="none" w:sz="0" w:space="0" w:color="auto"/>
        <w:bottom w:val="none" w:sz="0" w:space="0" w:color="auto"/>
        <w:right w:val="none" w:sz="0" w:space="0" w:color="auto"/>
      </w:divBdr>
    </w:div>
    <w:div w:id="5964500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5</Pages>
  <Words>8475</Words>
  <Characters>4832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22</cp:revision>
  <dcterms:created xsi:type="dcterms:W3CDTF">2025-05-31T04:38:00Z</dcterms:created>
  <dcterms:modified xsi:type="dcterms:W3CDTF">2025-06-19T17:22:00Z</dcterms:modified>
</cp:coreProperties>
</file>