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FA7" w:rsidRPr="00DD3663" w:rsidRDefault="00450FA7">
      <w:pPr>
        <w:spacing w:after="0" w:line="360" w:lineRule="auto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D3663">
        <w:rPr>
          <w:rFonts w:ascii="Times New Roman" w:hAnsi="Times New Roman"/>
          <w:b/>
          <w:bCs/>
          <w:sz w:val="28"/>
          <w:szCs w:val="28"/>
          <w:lang w:val="uk-UA"/>
        </w:rPr>
        <w:t>Неля Семенчук</w:t>
      </w:r>
    </w:p>
    <w:p w:rsidR="00450FA7" w:rsidRPr="00DD3663" w:rsidRDefault="00450FA7">
      <w:pPr>
        <w:spacing w:after="0" w:line="360" w:lineRule="auto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D3663">
        <w:rPr>
          <w:rFonts w:ascii="Times New Roman" w:hAnsi="Times New Roman"/>
          <w:b/>
          <w:sz w:val="28"/>
          <w:szCs w:val="28"/>
          <w:lang w:val="uk-UA"/>
        </w:rPr>
        <w:t>(Дніпро, Україна)</w:t>
      </w:r>
    </w:p>
    <w:p w:rsidR="00450FA7" w:rsidRDefault="00450FA7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50FA7" w:rsidRDefault="00450FA7">
      <w:pPr>
        <w:spacing w:after="0" w:line="360" w:lineRule="auto"/>
        <w:jc w:val="center"/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РОЛЬ ЛІПІДІВ У ЖИТТІ СПОРТСМЕНА</w:t>
      </w:r>
    </w:p>
    <w:p w:rsidR="00450FA7" w:rsidRDefault="00450FA7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50FA7" w:rsidRDefault="00450FA7">
      <w:pPr>
        <w:spacing w:after="0" w:line="360" w:lineRule="auto"/>
        <w:ind w:firstLine="720"/>
        <w:jc w:val="both"/>
      </w:pPr>
      <w:r>
        <w:rPr>
          <w:rFonts w:ascii="Times New Roman" w:hAnsi="Times New Roman"/>
          <w:sz w:val="28"/>
          <w:szCs w:val="28"/>
        </w:rPr>
        <w:t>Жири, або ліпіди, є важливими енергетичними субстратами, особливо за тривалої інтенсивної роботи. Крім того, вони постачають ненасичені жирні кислоти, які не синтезуються в організмі, але виконують важливі біологічні функції. У протилежність вуглеводам, запаси жирів в організмі людини практично невичерпні</w:t>
      </w:r>
      <w:r w:rsidRPr="00DD366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DD366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450FA7" w:rsidRDefault="00450FA7">
      <w:pPr>
        <w:spacing w:after="0" w:line="360" w:lineRule="auto"/>
        <w:ind w:firstLine="720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Добова потреба дорослої людини у жирах – 80–100 г, тобто 30–35 % від загальної калорійності їжі. З них тваринні жири становлять 70 %, рослинні – 30 % (25–45 г залежно від інтенсивності роботи) </w:t>
      </w:r>
      <w:r w:rsidRPr="00DD366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DD366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50FA7" w:rsidRDefault="00450FA7">
      <w:pPr>
        <w:spacing w:after="0" w:line="360" w:lineRule="auto"/>
        <w:ind w:firstLine="720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До складу жирів їжі входять: </w:t>
      </w:r>
    </w:p>
    <w:p w:rsidR="00450FA7" w:rsidRDefault="00450FA7">
      <w:pPr>
        <w:numPr>
          <w:ilvl w:val="0"/>
          <w:numId w:val="2"/>
        </w:numPr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тригліцериди (нейтральні жири) — складають близько 98% загальної кількості жирів, </w:t>
      </w:r>
    </w:p>
    <w:p w:rsidR="00450FA7" w:rsidRDefault="00450FA7">
      <w:pPr>
        <w:numPr>
          <w:ilvl w:val="0"/>
          <w:numId w:val="2"/>
        </w:numPr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>фосфоліпіди (1%),</w:t>
      </w:r>
    </w:p>
    <w:p w:rsidR="00450FA7" w:rsidRDefault="00450FA7">
      <w:pPr>
        <w:numPr>
          <w:ilvl w:val="0"/>
          <w:numId w:val="2"/>
        </w:numPr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холестерин (1%). </w:t>
      </w:r>
    </w:p>
    <w:p w:rsidR="00450FA7" w:rsidRDefault="00450FA7">
      <w:pPr>
        <w:spacing w:after="0" w:line="360" w:lineRule="auto"/>
        <w:ind w:firstLine="720"/>
        <w:jc w:val="both"/>
      </w:pPr>
      <w:r>
        <w:rPr>
          <w:rFonts w:ascii="Times New Roman" w:hAnsi="Times New Roman"/>
          <w:i/>
          <w:iCs/>
          <w:sz w:val="28"/>
          <w:szCs w:val="28"/>
          <w:lang w:val="uk-UA"/>
        </w:rPr>
        <w:t>Тригліцериди</w:t>
      </w:r>
      <w:r>
        <w:rPr>
          <w:rFonts w:ascii="Times New Roman" w:hAnsi="Times New Roman"/>
          <w:sz w:val="28"/>
          <w:szCs w:val="28"/>
          <w:lang w:val="uk-UA"/>
        </w:rPr>
        <w:t xml:space="preserve">, чи нейтральні жири їжі надходять в організм людини з продуктами харчування рослинного і тваринного походження та можуть істотно розрізнятися складом жирних кислот. </w:t>
      </w:r>
    </w:p>
    <w:p w:rsidR="00450FA7" w:rsidRPr="00DD3663" w:rsidRDefault="00450FA7">
      <w:pPr>
        <w:spacing w:after="0" w:line="360" w:lineRule="auto"/>
        <w:ind w:firstLine="720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Так, жири тваринного походження, крім курячого і риб’ячого, містять в основному насичені жирні кислоти. З ненасичених жирних кислот до їхнього складу може входити функціонально важлива арахідонова кислота. У цих жирах накопичуються також вітаміни А і D. </w:t>
      </w:r>
    </w:p>
    <w:p w:rsidR="00450FA7" w:rsidRPr="00DD3663" w:rsidRDefault="00450FA7">
      <w:pPr>
        <w:spacing w:after="0" w:line="360" w:lineRule="auto"/>
        <w:ind w:firstLine="720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Рослинні жири їжі містять велику кількість ненасичених жирних кислот, в основному лінолеву і ліноленову кислоти, що необхідні для синтезу в організмі інших ненасичених жирних кислот, а також регуляторів дії гормонів – простагландинів. Ненасичені жирні кислоти поліпшують вихід у кров жирів, що синтезувалися в печінці, і захищають її від ожиріння, виявляючи ліпотропний ефект. </w:t>
      </w:r>
    </w:p>
    <w:p w:rsidR="00450FA7" w:rsidRPr="00DD3663" w:rsidRDefault="00450FA7">
      <w:pPr>
        <w:spacing w:after="0" w:line="360" w:lineRule="auto"/>
        <w:ind w:firstLine="720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Тригліцериди є основною формою запасної енергії, яка використовується при фізичних навантаженнях. Є три форми тригліцеридів – жирової тканини, м’язів і крові. </w:t>
      </w:r>
    </w:p>
    <w:p w:rsidR="00450FA7" w:rsidRPr="00DD3663" w:rsidRDefault="00450FA7">
      <w:pPr>
        <w:spacing w:after="0" w:line="360" w:lineRule="auto"/>
        <w:ind w:firstLine="720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Головним енергетичним джерелом в енергозабезпеченні роботи м’язів є тригліцериди жирової тканини. Вони в процесі ліполізу розпадаються на гліцерин і вільні жирні кислоти, що відразу попадають у систему кровообігу і транспортуються до різних тканин. При виконанні м’язової роботи вільні жирні кислоти інтенсивно надходять у скелетні м’язи і служать ефективним енергетичним субстратом для їх роботи </w:t>
      </w:r>
      <w:r w:rsidRPr="00DD3663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DD3663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50FA7" w:rsidRPr="00DD3663" w:rsidRDefault="00450FA7">
      <w:pPr>
        <w:spacing w:after="0" w:line="360" w:lineRule="auto"/>
        <w:ind w:firstLine="720"/>
        <w:jc w:val="both"/>
        <w:rPr>
          <w:lang w:val="uk-UA"/>
        </w:rPr>
      </w:pPr>
      <w:r w:rsidRPr="00DD3663">
        <w:rPr>
          <w:rFonts w:ascii="Times New Roman" w:hAnsi="Times New Roman"/>
          <w:i/>
          <w:iCs/>
          <w:sz w:val="28"/>
          <w:szCs w:val="28"/>
          <w:lang w:val="uk-UA"/>
        </w:rPr>
        <w:t>Фосфоліпіди</w:t>
      </w:r>
      <w:r w:rsidRPr="00DD3663">
        <w:rPr>
          <w:rFonts w:ascii="Times New Roman" w:hAnsi="Times New Roman"/>
          <w:sz w:val="28"/>
          <w:szCs w:val="28"/>
          <w:lang w:val="uk-UA"/>
        </w:rPr>
        <w:t xml:space="preserve"> подібні за хімічним складом до фосфоліпідів організму людини. З ними в організм надходять поліненасичені жирні кислоти, фосфор, холін, інозін та інші речовини. </w:t>
      </w:r>
    </w:p>
    <w:p w:rsidR="00450FA7" w:rsidRDefault="00450FA7">
      <w:pPr>
        <w:spacing w:after="0" w:line="360" w:lineRule="auto"/>
        <w:ind w:firstLine="720"/>
        <w:jc w:val="both"/>
      </w:pPr>
      <w:r>
        <w:rPr>
          <w:rFonts w:ascii="Times New Roman" w:hAnsi="Times New Roman"/>
          <w:sz w:val="28"/>
          <w:szCs w:val="28"/>
        </w:rPr>
        <w:t xml:space="preserve">Серед різних фосфоліпідів найбільше значення має ліцетин, якому характерний ліпотропний ефект. Він також захищає від розвитку атеросклерозу, стимулює процеси кровотворення, росту і розвитку організму. Ліцетин міститься в продуктах тваринного походження: </w:t>
      </w:r>
    </w:p>
    <w:p w:rsidR="00450FA7" w:rsidRDefault="00450FA7">
      <w:pPr>
        <w:numPr>
          <w:ilvl w:val="0"/>
          <w:numId w:val="4"/>
        </w:numPr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ікри риб, </w:t>
      </w:r>
    </w:p>
    <w:p w:rsidR="00450FA7" w:rsidRDefault="00450FA7">
      <w:pPr>
        <w:numPr>
          <w:ilvl w:val="0"/>
          <w:numId w:val="4"/>
        </w:numPr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печінці, </w:t>
      </w:r>
    </w:p>
    <w:p w:rsidR="00450FA7" w:rsidRDefault="00450FA7">
      <w:pPr>
        <w:numPr>
          <w:ilvl w:val="0"/>
          <w:numId w:val="4"/>
        </w:numPr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яєчному жовтку, </w:t>
      </w:r>
    </w:p>
    <w:p w:rsidR="00450FA7" w:rsidRDefault="00450FA7">
      <w:pPr>
        <w:numPr>
          <w:ilvl w:val="0"/>
          <w:numId w:val="4"/>
        </w:numPr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вершковому маслі. </w:t>
      </w:r>
    </w:p>
    <w:p w:rsidR="00450FA7" w:rsidRDefault="00450FA7">
      <w:pPr>
        <w:spacing w:after="0" w:line="360" w:lineRule="auto"/>
        <w:ind w:firstLine="720"/>
        <w:jc w:val="both"/>
      </w:pPr>
      <w:r>
        <w:rPr>
          <w:rFonts w:ascii="Times New Roman" w:hAnsi="Times New Roman"/>
          <w:sz w:val="28"/>
          <w:szCs w:val="28"/>
        </w:rPr>
        <w:t xml:space="preserve">Добова потреба людини в ліцетині складає </w:t>
      </w:r>
      <w:smartTag w:uri="urn:schemas-microsoft-com:office:smarttags" w:element="metricconverter">
        <w:smartTagPr>
          <w:attr w:name="ProductID" w:val="0,5 г"/>
        </w:smartTagPr>
        <w:r>
          <w:rPr>
            <w:rFonts w:ascii="Times New Roman" w:hAnsi="Times New Roman"/>
            <w:sz w:val="28"/>
            <w:szCs w:val="28"/>
          </w:rPr>
          <w:t>0,5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</w:p>
    <w:p w:rsidR="00450FA7" w:rsidRDefault="00450F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Холестерин</w:t>
      </w:r>
      <w:r>
        <w:rPr>
          <w:rFonts w:ascii="Times New Roman" w:hAnsi="Times New Roman"/>
          <w:sz w:val="28"/>
          <w:szCs w:val="28"/>
        </w:rPr>
        <w:t xml:space="preserve"> не є енергетичним субстратом, але виконує багато функцій в організмі. Порушення його обміну призводить до розвитку захворювання серцево-судинної системи. Але прямий взаємозв’язок між надходженням холестерину з їжею і розвитком захворювання не підтверджений. Проте рекомендована раніше норма споживання холестерину в кількості 600 мг/добу у даний час знижена до 300 мг/добу. </w:t>
      </w:r>
    </w:p>
    <w:p w:rsidR="00450FA7" w:rsidRDefault="00450F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Джерелами холестерину є продукти тваринного походження: </w:t>
      </w:r>
    </w:p>
    <w:p w:rsidR="00450FA7" w:rsidRDefault="00450FA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печінка, </w:t>
      </w:r>
    </w:p>
    <w:p w:rsidR="00450FA7" w:rsidRDefault="00450FA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м’ясо, </w:t>
      </w:r>
    </w:p>
    <w:p w:rsidR="00450FA7" w:rsidRDefault="00450FA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курячий жовток, </w:t>
      </w:r>
    </w:p>
    <w:p w:rsidR="00450FA7" w:rsidRDefault="00450FA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вершкове масло, </w:t>
      </w:r>
    </w:p>
    <w:p w:rsidR="00450FA7" w:rsidRDefault="00450FA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сметана. </w:t>
      </w:r>
    </w:p>
    <w:p w:rsidR="00450FA7" w:rsidRDefault="00450F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рослинних продуктах холестерин майже відсутній </w:t>
      </w:r>
      <w:r w:rsidRPr="00DD366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DD366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50FA7" w:rsidRDefault="00450F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Споживання жиру залежить від добових енерговитрат, при використанні: </w:t>
      </w:r>
    </w:p>
    <w:p w:rsidR="00450FA7" w:rsidRDefault="00450FA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1 500 ккал – </w:t>
      </w:r>
      <w:smartTag w:uri="urn:schemas-microsoft-com:office:smarttags" w:element="metricconverter">
        <w:smartTagPr>
          <w:attr w:name="ProductID" w:val="42 г"/>
        </w:smartTagPr>
        <w:r>
          <w:rPr>
            <w:rFonts w:ascii="Times New Roman" w:hAnsi="Times New Roman"/>
            <w:sz w:val="28"/>
            <w:szCs w:val="28"/>
            <w:lang w:val="uk-UA"/>
          </w:rPr>
          <w:t>42 г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450FA7" w:rsidRDefault="00450FA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2 000 – </w:t>
      </w:r>
      <w:smartTag w:uri="urn:schemas-microsoft-com:office:smarttags" w:element="metricconverter">
        <w:smartTagPr>
          <w:attr w:name="ProductID" w:val="56 г"/>
        </w:smartTagPr>
        <w:r>
          <w:rPr>
            <w:rFonts w:ascii="Times New Roman" w:hAnsi="Times New Roman"/>
            <w:sz w:val="28"/>
            <w:szCs w:val="28"/>
            <w:lang w:val="uk-UA"/>
          </w:rPr>
          <w:t>56 г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450FA7" w:rsidRDefault="00450FA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2 500 – </w:t>
      </w:r>
      <w:smartTag w:uri="urn:schemas-microsoft-com:office:smarttags" w:element="metricconverter">
        <w:smartTagPr>
          <w:attr w:name="ProductID" w:val="69 г"/>
        </w:smartTagPr>
        <w:r>
          <w:rPr>
            <w:rFonts w:ascii="Times New Roman" w:hAnsi="Times New Roman"/>
            <w:sz w:val="28"/>
            <w:szCs w:val="28"/>
            <w:lang w:val="uk-UA"/>
          </w:rPr>
          <w:t>69 г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450FA7" w:rsidRDefault="00450FA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3 000 – </w:t>
      </w:r>
      <w:smartTag w:uri="urn:schemas-microsoft-com:office:smarttags" w:element="metricconverter">
        <w:smartTagPr>
          <w:attr w:name="ProductID" w:val="83 г"/>
        </w:smartTagPr>
        <w:r>
          <w:rPr>
            <w:rFonts w:ascii="Times New Roman" w:hAnsi="Times New Roman"/>
            <w:sz w:val="28"/>
            <w:szCs w:val="28"/>
            <w:lang w:val="uk-UA"/>
          </w:rPr>
          <w:t>83 г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450FA7" w:rsidRDefault="00450FA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3 500 – </w:t>
      </w:r>
      <w:smartTag w:uri="urn:schemas-microsoft-com:office:smarttags" w:element="metricconverter">
        <w:smartTagPr>
          <w:attr w:name="ProductID" w:val="97 г"/>
        </w:smartTagPr>
        <w:r>
          <w:rPr>
            <w:rFonts w:ascii="Times New Roman" w:hAnsi="Times New Roman"/>
            <w:sz w:val="28"/>
            <w:szCs w:val="28"/>
            <w:lang w:val="uk-UA"/>
          </w:rPr>
          <w:t>97 г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450FA7" w:rsidRDefault="00450FA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4 000 ккал – </w:t>
      </w:r>
      <w:smartTag w:uri="urn:schemas-microsoft-com:office:smarttags" w:element="metricconverter">
        <w:smartTagPr>
          <w:attr w:name="ProductID" w:val="111 г"/>
        </w:smartTagPr>
        <w:r>
          <w:rPr>
            <w:rFonts w:ascii="Times New Roman" w:hAnsi="Times New Roman"/>
            <w:sz w:val="28"/>
            <w:szCs w:val="28"/>
            <w:lang w:val="uk-UA"/>
          </w:rPr>
          <w:t>111 г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на добу. </w:t>
      </w:r>
    </w:p>
    <w:p w:rsidR="00450FA7" w:rsidRDefault="00450F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Орієнтовна кількість жиру, отриманого із продуктами харчування: </w:t>
      </w:r>
    </w:p>
    <w:p w:rsidR="00450FA7" w:rsidRDefault="00450FA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1 столовій ложці майонезу – </w:t>
      </w:r>
      <w:smartTag w:uri="urn:schemas-microsoft-com:office:smarttags" w:element="metricconverter">
        <w:smartTagPr>
          <w:attr w:name="ProductID" w:val="23 г"/>
        </w:smartTagPr>
        <w:r>
          <w:rPr>
            <w:rFonts w:ascii="Times New Roman" w:hAnsi="Times New Roman"/>
            <w:sz w:val="28"/>
            <w:szCs w:val="28"/>
            <w:lang w:val="uk-UA"/>
          </w:rPr>
          <w:t>23 г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450FA7" w:rsidRDefault="00450FA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smartTag w:uri="urn:schemas-microsoft-com:office:smarttags" w:element="metricconverter">
        <w:smartTagPr>
          <w:attr w:name="ProductID" w:val="50 г"/>
        </w:smartTagPr>
        <w:r>
          <w:rPr>
            <w:rFonts w:ascii="Times New Roman" w:hAnsi="Times New Roman"/>
            <w:sz w:val="28"/>
            <w:szCs w:val="28"/>
            <w:lang w:val="uk-UA"/>
          </w:rPr>
          <w:t>50 г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сиру – </w:t>
      </w:r>
      <w:smartTag w:uri="urn:schemas-microsoft-com:office:smarttags" w:element="metricconverter">
        <w:smartTagPr>
          <w:attr w:name="ProductID" w:val="16 г"/>
        </w:smartTagPr>
        <w:r>
          <w:rPr>
            <w:rFonts w:ascii="Times New Roman" w:hAnsi="Times New Roman"/>
            <w:sz w:val="28"/>
            <w:szCs w:val="28"/>
            <w:lang w:val="uk-UA"/>
          </w:rPr>
          <w:t>16 г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450FA7" w:rsidRDefault="00450FA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smartTag w:uri="urn:schemas-microsoft-com:office:smarttags" w:element="metricconverter">
        <w:smartTagPr>
          <w:attr w:name="ProductID" w:val="85 г"/>
        </w:smartTagPr>
        <w:r>
          <w:rPr>
            <w:rFonts w:ascii="Times New Roman" w:hAnsi="Times New Roman"/>
            <w:sz w:val="28"/>
            <w:szCs w:val="28"/>
            <w:lang w:val="uk-UA"/>
          </w:rPr>
          <w:t>85 г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відбивної із свинини – </w:t>
      </w:r>
      <w:smartTag w:uri="urn:schemas-microsoft-com:office:smarttags" w:element="metricconverter">
        <w:smartTagPr>
          <w:attr w:name="ProductID" w:val="6 г"/>
        </w:smartTagPr>
        <w:r>
          <w:rPr>
            <w:rFonts w:ascii="Times New Roman" w:hAnsi="Times New Roman"/>
            <w:sz w:val="28"/>
            <w:szCs w:val="28"/>
            <w:lang w:val="uk-UA"/>
          </w:rPr>
          <w:t>6 г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450FA7" w:rsidRDefault="00450FA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smartTag w:uri="urn:schemas-microsoft-com:office:smarttags" w:element="metricconverter">
        <w:smartTagPr>
          <w:attr w:name="ProductID" w:val="5 г"/>
        </w:smartTagPr>
        <w:r>
          <w:rPr>
            <w:rFonts w:ascii="Times New Roman" w:hAnsi="Times New Roman"/>
            <w:sz w:val="28"/>
            <w:szCs w:val="28"/>
            <w:lang w:val="uk-UA"/>
          </w:rPr>
          <w:t>5 г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вершкового масла – </w:t>
      </w:r>
      <w:smartTag w:uri="urn:schemas-microsoft-com:office:smarttags" w:element="metricconverter">
        <w:smartTagPr>
          <w:attr w:name="ProductID" w:val="4 г"/>
        </w:smartTagPr>
        <w:r>
          <w:rPr>
            <w:rFonts w:ascii="Times New Roman" w:hAnsi="Times New Roman"/>
            <w:sz w:val="28"/>
            <w:szCs w:val="28"/>
            <w:lang w:val="uk-UA"/>
          </w:rPr>
          <w:t>4 г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450FA7" w:rsidRDefault="00450FA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smartTag w:uri="urn:schemas-microsoft-com:office:smarttags" w:element="metricconverter">
        <w:smartTagPr>
          <w:attr w:name="ProductID" w:val="100 г"/>
        </w:smartTagPr>
        <w:r>
          <w:rPr>
            <w:rFonts w:ascii="Times New Roman" w:hAnsi="Times New Roman"/>
            <w:sz w:val="28"/>
            <w:szCs w:val="28"/>
            <w:lang w:val="uk-UA"/>
          </w:rPr>
          <w:t>100 г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картопляного пюре – </w:t>
      </w:r>
      <w:smartTag w:uri="urn:schemas-microsoft-com:office:smarttags" w:element="metricconverter">
        <w:smartTagPr>
          <w:attr w:name="ProductID" w:val="0,1 г"/>
        </w:smartTagPr>
        <w:r>
          <w:rPr>
            <w:rFonts w:ascii="Times New Roman" w:hAnsi="Times New Roman"/>
            <w:sz w:val="28"/>
            <w:szCs w:val="28"/>
            <w:lang w:val="uk-UA"/>
          </w:rPr>
          <w:t>0,1 г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50FA7" w:rsidRDefault="00450F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жителів північних районів кількість спожитого жиру збільшується на 10 %, а для жителів південних районів – зменшується приблизно на 5 % </w:t>
      </w:r>
      <w:r w:rsidRPr="00DD366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DD366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50FA7" w:rsidRPr="00DD3663" w:rsidRDefault="00450F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Різні жири можуть суттєво відрізнятися за складом жирних кислот. Так, жири тваринного походження (тверді жири), крім курячого й риб’ячого, містять в основному насичені жирні кислоти. З ненасичених жирних кислот до їхнього складу може належати функціонально важлива арахідонова кислота, а також вітаміни А і Р. Рослинні жири містять багато ненасичених жирних кислот, в основному лінолеву й ліноленову кислоти, які необхідні для синтезу в організмі інших ненасичених жирних кислот, а також регуляторів дії гормонів – простагландинів. </w:t>
      </w:r>
    </w:p>
    <w:p w:rsidR="00450FA7" w:rsidRDefault="00450F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Найбільше значення жири рослинного походження мають для тих спортсменів, які систематично виконують тривалі навантаження (марафонці, лижники, велосипедисти-шосейники, плавці тощо). Жири рослинного походження не слід термічно обробляти, а додавати їх до вінегретів, салатів, овочевих консервів. </w:t>
      </w:r>
    </w:p>
    <w:p w:rsidR="00450FA7" w:rsidRPr="00DD3663" w:rsidRDefault="00450F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Жири інтенсивно використовуються для енергозабезпечення скелетних м’язів і серця, переважно при аеробних режимах фізичної роботи </w:t>
      </w:r>
      <w:r w:rsidRPr="00DD366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DD366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Використання жирів для енергозабезпечення м’язової діяльності залежить від її інтенсивності, тривалості, рівня тренованості спортсмена, а також від ступеня залучення в процеси скорочення при різноманітній роботі різних типів м’язових волокон. </w:t>
      </w:r>
    </w:p>
    <w:p w:rsidR="00450FA7" w:rsidRPr="00DD3663" w:rsidRDefault="00450F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Установлено таку закономірність: </w:t>
      </w:r>
    </w:p>
    <w:p w:rsidR="00450FA7" w:rsidRPr="00DD3663" w:rsidRDefault="00450F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 жири використовуються в енергетиці працюючих м’язів під час тривалих фізичних навантажень помірної інтенсивності; вони включаються до енергообміну після істотного зниження рівня глюкози в крові й запасу глікогену в м’язах;</w:t>
      </w:r>
    </w:p>
    <w:p w:rsidR="00450FA7" w:rsidRPr="00DD3663" w:rsidRDefault="00450F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– зі зростанням тренованості на витривалість зменшується швидкість окислення вуглеводів та збільшується швидкість окислення жирів (м’язових тригліцеридів). </w:t>
      </w:r>
    </w:p>
    <w:p w:rsidR="00450FA7" w:rsidRDefault="00450F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Окремі ергогенні речовини здатні посилювати мобілізацію жирів під час діяльності м’язів та їхню утилізацію тканинами, що сприяє збереженню запасів глікогену в м’язах. До таких належить кофеїн, який сприяє розпаду тригліцеридів у тканинах, і карнітин, який прискорює транспорт жирних кислот в мітохондрії та їхнє окислення </w:t>
      </w:r>
      <w:r w:rsidRPr="00DD366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DD366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50FA7" w:rsidRDefault="00450F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Спортсменам рекомендують зменшувати частку жиру у харчовому раціоні до 20– 30 %, тому що застосування дієти із великою кількістю жирів не сприяє збільшенню спортивної працездатності </w:t>
      </w:r>
      <w:r w:rsidRPr="00DD366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DD366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Небажано споживати їжу, багату на жири за 1,5–2 год до навантаження і відразу після його припинення, оскільки вони перешкоджатимуть використанню запасів жирних кислот і сприятимуть нагромадженню жиру у печінці. </w:t>
      </w:r>
    </w:p>
    <w:p w:rsidR="00450FA7" w:rsidRDefault="00450F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Отже, можна сказати, що надлишкове споживання жирів, як і виключення їх із раціону харчування, негативно позначається на здоров’ї людини та її фізичній працездатності.</w:t>
      </w:r>
    </w:p>
    <w:p w:rsidR="00450FA7" w:rsidRDefault="00450F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50FA7" w:rsidRDefault="00450FA7">
      <w:pPr>
        <w:spacing w:after="0" w:line="360" w:lineRule="auto"/>
        <w:ind w:firstLine="720"/>
        <w:jc w:val="both"/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Література:</w:t>
      </w:r>
    </w:p>
    <w:p w:rsidR="00450FA7" w:rsidRDefault="00450FA7">
      <w:pPr>
        <w:spacing w:after="0" w:line="360" w:lineRule="auto"/>
        <w:ind w:firstLine="720"/>
        <w:jc w:val="both"/>
      </w:pPr>
      <w:r w:rsidRPr="00DD3663">
        <w:rPr>
          <w:rFonts w:ascii="Times New Roman" w:hAnsi="Times New Roman"/>
          <w:sz w:val="28"/>
          <w:szCs w:val="28"/>
        </w:rPr>
        <w:t xml:space="preserve">1. Павлова Ю., Виноградський Б. Відновлення у спорті: монографія / Ю. Павлова, Б. Виноградський. 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DD3663">
        <w:rPr>
          <w:rFonts w:ascii="Times New Roman" w:hAnsi="Times New Roman"/>
          <w:sz w:val="28"/>
          <w:szCs w:val="28"/>
        </w:rPr>
        <w:t xml:space="preserve"> Л</w:t>
      </w:r>
      <w:r>
        <w:rPr>
          <w:rFonts w:ascii="Times New Roman" w:hAnsi="Times New Roman"/>
          <w:sz w:val="28"/>
          <w:szCs w:val="28"/>
          <w:lang w:val="uk-UA"/>
        </w:rPr>
        <w:t>ьвів</w:t>
      </w:r>
      <w:r w:rsidRPr="00DD3663">
        <w:rPr>
          <w:rFonts w:ascii="Times New Roman" w:hAnsi="Times New Roman"/>
          <w:sz w:val="28"/>
          <w:szCs w:val="28"/>
        </w:rPr>
        <w:t xml:space="preserve">: ЛДУФК, 2011. 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DD3663">
        <w:rPr>
          <w:rFonts w:ascii="Times New Roman" w:hAnsi="Times New Roman"/>
          <w:sz w:val="28"/>
          <w:szCs w:val="28"/>
        </w:rPr>
        <w:t xml:space="preserve"> 204 с.</w:t>
      </w:r>
    </w:p>
    <w:p w:rsidR="00450FA7" w:rsidRDefault="00450FA7">
      <w:pPr>
        <w:spacing w:after="0" w:line="360" w:lineRule="auto"/>
        <w:ind w:firstLine="720"/>
        <w:jc w:val="both"/>
      </w:pPr>
      <w:r w:rsidRPr="00DD3663">
        <w:rPr>
          <w:rFonts w:ascii="Times New Roman" w:hAnsi="Times New Roman"/>
          <w:sz w:val="28"/>
          <w:szCs w:val="28"/>
        </w:rPr>
        <w:t xml:space="preserve">2. Фабрі З.Й., Чернов В.Д.  Біохімічні основи фізичної культури і спорту: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DD3663">
        <w:rPr>
          <w:rFonts w:ascii="Times New Roman" w:hAnsi="Times New Roman"/>
          <w:sz w:val="28"/>
          <w:szCs w:val="28"/>
        </w:rPr>
        <w:t xml:space="preserve">авч. посібник для студентів вищих навчальних закладів фізичної культури і спорту / З.Й. Фабрі, В.Д. Чернов. 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DD3663">
        <w:rPr>
          <w:rFonts w:ascii="Times New Roman" w:hAnsi="Times New Roman"/>
          <w:sz w:val="28"/>
          <w:szCs w:val="28"/>
        </w:rPr>
        <w:t xml:space="preserve"> Ужгород: Ужгородський національний університет, 2014.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D3663">
        <w:rPr>
          <w:rFonts w:ascii="Times New Roman" w:hAnsi="Times New Roman"/>
          <w:sz w:val="28"/>
          <w:szCs w:val="28"/>
        </w:rPr>
        <w:t>91 с.</w:t>
      </w:r>
    </w:p>
    <w:p w:rsidR="00450FA7" w:rsidRDefault="00450FA7">
      <w:pPr>
        <w:spacing w:after="0" w:line="360" w:lineRule="auto"/>
        <w:ind w:firstLine="720"/>
        <w:jc w:val="both"/>
      </w:pPr>
      <w:r w:rsidRPr="00DD3663">
        <w:rPr>
          <w:rFonts w:ascii="Times New Roman" w:hAnsi="Times New Roman"/>
          <w:sz w:val="28"/>
          <w:szCs w:val="28"/>
        </w:rPr>
        <w:t xml:space="preserve">3. Циба Ю.Г., Молдован А.Д., Горюк П.І. Медико-біологічні технології підвищення працездатності спортсменів: навч.-метод. посібник / Ю.Г. Циба, А.Д. Молдован, П.І. Горюк. 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DD3663">
        <w:rPr>
          <w:rFonts w:ascii="Times New Roman" w:hAnsi="Times New Roman"/>
          <w:sz w:val="28"/>
          <w:szCs w:val="28"/>
        </w:rPr>
        <w:t xml:space="preserve"> Чернівці: Чернівецький нац. ун-т ім. Ю. Федьковича, 2021. 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DD3663">
        <w:rPr>
          <w:rFonts w:ascii="Times New Roman" w:hAnsi="Times New Roman"/>
          <w:sz w:val="28"/>
          <w:szCs w:val="28"/>
        </w:rPr>
        <w:t xml:space="preserve"> 132 с.</w:t>
      </w:r>
    </w:p>
    <w:p w:rsidR="00450FA7" w:rsidRPr="00DD3663" w:rsidRDefault="00450F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sectPr w:rsidR="00450FA7" w:rsidRPr="00DD3663" w:rsidSect="009D3081">
      <w:pgSz w:w="11909" w:h="16834"/>
      <w:pgMar w:top="1138" w:right="1138" w:bottom="1138" w:left="1138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4491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1">
    <w:nsid w:val="115C35D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2">
    <w:nsid w:val="193071D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3">
    <w:nsid w:val="37F73F9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4">
    <w:nsid w:val="38CA60A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5">
    <w:nsid w:val="43B36FF4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3081"/>
    <w:rsid w:val="002863A8"/>
    <w:rsid w:val="00450FA7"/>
    <w:rsid w:val="00730947"/>
    <w:rsid w:val="009D3081"/>
    <w:rsid w:val="00DD3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081"/>
    <w:pPr>
      <w:spacing w:after="160" w:line="259" w:lineRule="auto"/>
    </w:pPr>
    <w:rPr>
      <w:color w:val="00000A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Pr>
      <w:rFonts w:cs="Times New Roman"/>
      <w:b/>
      <w:bCs/>
    </w:rPr>
  </w:style>
  <w:style w:type="character" w:customStyle="1" w:styleId="-">
    <w:name w:val="Интернет-ссылка"/>
    <w:uiPriority w:val="99"/>
    <w:rsid w:val="009D3081"/>
    <w:rPr>
      <w:color w:val="000080"/>
      <w:u w:val="single"/>
    </w:rPr>
  </w:style>
  <w:style w:type="character" w:customStyle="1" w:styleId="ListLabel1">
    <w:name w:val="ListLabel 1"/>
    <w:uiPriority w:val="99"/>
    <w:rsid w:val="009D3081"/>
    <w:rPr>
      <w:rFonts w:ascii="Times New Roman" w:hAnsi="Times New Roman"/>
      <w:sz w:val="28"/>
    </w:rPr>
  </w:style>
  <w:style w:type="character" w:customStyle="1" w:styleId="ListLabel2">
    <w:name w:val="ListLabel 2"/>
    <w:uiPriority w:val="99"/>
    <w:rsid w:val="009D3081"/>
  </w:style>
  <w:style w:type="character" w:customStyle="1" w:styleId="ListLabel3">
    <w:name w:val="ListLabel 3"/>
    <w:uiPriority w:val="99"/>
    <w:rsid w:val="009D3081"/>
  </w:style>
  <w:style w:type="character" w:customStyle="1" w:styleId="ListLabel4">
    <w:name w:val="ListLabel 4"/>
    <w:uiPriority w:val="99"/>
    <w:rsid w:val="009D3081"/>
  </w:style>
  <w:style w:type="character" w:customStyle="1" w:styleId="ListLabel5">
    <w:name w:val="ListLabel 5"/>
    <w:uiPriority w:val="99"/>
    <w:rsid w:val="009D3081"/>
  </w:style>
  <w:style w:type="character" w:customStyle="1" w:styleId="ListLabel6">
    <w:name w:val="ListLabel 6"/>
    <w:uiPriority w:val="99"/>
    <w:rsid w:val="009D3081"/>
  </w:style>
  <w:style w:type="character" w:customStyle="1" w:styleId="ListLabel7">
    <w:name w:val="ListLabel 7"/>
    <w:uiPriority w:val="99"/>
    <w:rsid w:val="009D3081"/>
  </w:style>
  <w:style w:type="character" w:customStyle="1" w:styleId="ListLabel8">
    <w:name w:val="ListLabel 8"/>
    <w:uiPriority w:val="99"/>
    <w:rsid w:val="009D3081"/>
  </w:style>
  <w:style w:type="character" w:customStyle="1" w:styleId="ListLabel9">
    <w:name w:val="ListLabel 9"/>
    <w:uiPriority w:val="99"/>
    <w:rsid w:val="009D3081"/>
  </w:style>
  <w:style w:type="character" w:customStyle="1" w:styleId="a">
    <w:name w:val="Маркеры списка"/>
    <w:uiPriority w:val="99"/>
    <w:rsid w:val="009D3081"/>
    <w:rPr>
      <w:rFonts w:ascii="OpenSymbol" w:eastAsia="Times New Roman" w:hAnsi="OpenSymbol"/>
    </w:rPr>
  </w:style>
  <w:style w:type="paragraph" w:customStyle="1" w:styleId="a0">
    <w:name w:val="Заголовок"/>
    <w:basedOn w:val="Normal"/>
    <w:next w:val="BodyText"/>
    <w:uiPriority w:val="99"/>
    <w:rsid w:val="009D308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D3081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B6683"/>
    <w:rPr>
      <w:color w:val="00000A"/>
      <w:lang w:val="ru-RU"/>
    </w:rPr>
  </w:style>
  <w:style w:type="paragraph" w:styleId="List">
    <w:name w:val="List"/>
    <w:basedOn w:val="BodyText"/>
    <w:uiPriority w:val="99"/>
    <w:rsid w:val="009D3081"/>
    <w:rPr>
      <w:rFonts w:cs="Arial"/>
    </w:rPr>
  </w:style>
  <w:style w:type="paragraph" w:styleId="Caption">
    <w:name w:val="caption"/>
    <w:basedOn w:val="Normal"/>
    <w:uiPriority w:val="99"/>
    <w:qFormat/>
    <w:rsid w:val="009D308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pPr>
      <w:ind w:left="220" w:hanging="220"/>
    </w:pPr>
  </w:style>
  <w:style w:type="paragraph" w:styleId="IndexHeading">
    <w:name w:val="index heading"/>
    <w:basedOn w:val="Normal"/>
    <w:uiPriority w:val="99"/>
    <w:rsid w:val="009D3081"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">
    <w:name w:val="Содержимое таблицы"/>
    <w:basedOn w:val="Normal"/>
    <w:uiPriority w:val="99"/>
    <w:rsid w:val="009D30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5</Pages>
  <Words>4387</Words>
  <Characters>2502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tanyaleg1975@gmail.com</dc:creator>
  <cp:keywords/>
  <dc:description/>
  <cp:lastModifiedBy>Admin</cp:lastModifiedBy>
  <cp:revision>25</cp:revision>
  <dcterms:created xsi:type="dcterms:W3CDTF">2020-10-13T21:15:00Z</dcterms:created>
  <dcterms:modified xsi:type="dcterms:W3CDTF">2023-10-30T15:16:00Z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ntentTypeId">
    <vt:lpwstr>0x01010085D8580F74C53C4E996443DEA22F93E0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