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25C" w:rsidRPr="00667DFE" w:rsidRDefault="0052525C" w:rsidP="00EF47E0">
      <w:pPr>
        <w:pStyle w:val="NoSpacing"/>
        <w:spacing w:line="360" w:lineRule="auto"/>
        <w:ind w:firstLine="709"/>
        <w:jc w:val="right"/>
        <w:rPr>
          <w:rFonts w:ascii="Times New Roman" w:hAnsi="Times New Roman"/>
          <w:b/>
          <w:sz w:val="28"/>
          <w:szCs w:val="28"/>
          <w:lang w:val="uk-UA"/>
        </w:rPr>
      </w:pPr>
      <w:r w:rsidRPr="00667DFE">
        <w:rPr>
          <w:rFonts w:ascii="Times New Roman" w:hAnsi="Times New Roman"/>
          <w:b/>
          <w:sz w:val="28"/>
          <w:szCs w:val="28"/>
        </w:rPr>
        <w:t>Наталия Тарасовская</w:t>
      </w:r>
    </w:p>
    <w:p w:rsidR="0052525C" w:rsidRPr="00667DFE" w:rsidRDefault="0052525C" w:rsidP="00EF47E0">
      <w:pPr>
        <w:pStyle w:val="NoSpacing"/>
        <w:spacing w:line="360" w:lineRule="auto"/>
        <w:ind w:firstLine="709"/>
        <w:jc w:val="right"/>
        <w:rPr>
          <w:rFonts w:ascii="Times New Roman" w:hAnsi="Times New Roman"/>
          <w:b/>
          <w:sz w:val="28"/>
          <w:szCs w:val="28"/>
        </w:rPr>
      </w:pPr>
      <w:r w:rsidRPr="00667DFE">
        <w:rPr>
          <w:rFonts w:ascii="Times New Roman" w:hAnsi="Times New Roman"/>
          <w:b/>
          <w:sz w:val="28"/>
          <w:szCs w:val="28"/>
        </w:rPr>
        <w:t>(Павлодар, Казахстан)</w:t>
      </w:r>
    </w:p>
    <w:p w:rsidR="0052525C" w:rsidRPr="000F1FE8" w:rsidRDefault="0052525C" w:rsidP="00EF47E0">
      <w:pPr>
        <w:pStyle w:val="NoSpacing"/>
        <w:tabs>
          <w:tab w:val="left" w:pos="6825"/>
        </w:tabs>
        <w:spacing w:line="360" w:lineRule="auto"/>
        <w:jc w:val="both"/>
        <w:rPr>
          <w:rFonts w:ascii="Times New Roman" w:hAnsi="Times New Roman"/>
          <w:b/>
          <w:sz w:val="28"/>
          <w:szCs w:val="28"/>
        </w:rPr>
      </w:pPr>
      <w:r>
        <w:rPr>
          <w:rFonts w:ascii="Times New Roman" w:hAnsi="Times New Roman"/>
          <w:b/>
          <w:sz w:val="28"/>
          <w:szCs w:val="28"/>
        </w:rPr>
        <w:tab/>
      </w:r>
    </w:p>
    <w:p w:rsidR="0052525C" w:rsidRDefault="0052525C" w:rsidP="00EF47E0">
      <w:pPr>
        <w:pStyle w:val="NoSpacing"/>
        <w:spacing w:line="360" w:lineRule="auto"/>
        <w:jc w:val="center"/>
        <w:rPr>
          <w:rFonts w:ascii="Times New Roman" w:hAnsi="Times New Roman"/>
          <w:b/>
          <w:sz w:val="28"/>
          <w:szCs w:val="28"/>
          <w:lang w:val="uk-UA"/>
        </w:rPr>
      </w:pPr>
      <w:r w:rsidRPr="000F1FE8">
        <w:rPr>
          <w:rFonts w:ascii="Times New Roman" w:hAnsi="Times New Roman"/>
          <w:b/>
          <w:sz w:val="28"/>
          <w:szCs w:val="28"/>
        </w:rPr>
        <w:t xml:space="preserve">ИЗУЧЕНИЕ МЕЖВИДОВЫХ ОТНОШЕНИЙ </w:t>
      </w:r>
      <w:r>
        <w:rPr>
          <w:rFonts w:ascii="Times New Roman" w:hAnsi="Times New Roman"/>
          <w:b/>
          <w:sz w:val="28"/>
          <w:szCs w:val="28"/>
        </w:rPr>
        <w:t xml:space="preserve">ГАСТРОИНТЕСТИНАЛЬНЫХ ГЕЛЬМИНТОВ У ОСТРОМОРДОЙ ЛЯГУШКИ В </w:t>
      </w:r>
      <w:smartTag w:uri="urn:schemas-microsoft-com:office:smarttags" w:element="metricconverter">
        <w:smartTagPr>
          <w:attr w:name="ProductID" w:val="2015 Г"/>
        </w:smartTagPr>
        <w:r>
          <w:rPr>
            <w:rFonts w:ascii="Times New Roman" w:hAnsi="Times New Roman"/>
            <w:b/>
            <w:sz w:val="28"/>
            <w:szCs w:val="28"/>
          </w:rPr>
          <w:t>2015 Г</w:t>
        </w:r>
      </w:smartTag>
      <w:r>
        <w:rPr>
          <w:rFonts w:ascii="Times New Roman" w:hAnsi="Times New Roman"/>
          <w:b/>
          <w:sz w:val="28"/>
          <w:szCs w:val="28"/>
        </w:rPr>
        <w:t>.</w:t>
      </w:r>
    </w:p>
    <w:p w:rsidR="0052525C" w:rsidRPr="00667DFE" w:rsidRDefault="0052525C" w:rsidP="00EF47E0">
      <w:pPr>
        <w:pStyle w:val="NoSpacing"/>
        <w:spacing w:line="360" w:lineRule="auto"/>
        <w:jc w:val="center"/>
        <w:rPr>
          <w:rFonts w:ascii="Times New Roman" w:hAnsi="Times New Roman"/>
          <w:b/>
          <w:sz w:val="28"/>
          <w:szCs w:val="28"/>
          <w:lang w:val="uk-UA"/>
        </w:rPr>
      </w:pPr>
    </w:p>
    <w:p w:rsidR="0052525C" w:rsidRDefault="0052525C" w:rsidP="00EF47E0">
      <w:pPr>
        <w:pStyle w:val="NoSpacing"/>
        <w:spacing w:line="360" w:lineRule="auto"/>
        <w:ind w:firstLine="709"/>
        <w:jc w:val="both"/>
        <w:rPr>
          <w:rFonts w:ascii="Times New Roman" w:hAnsi="Times New Roman"/>
          <w:sz w:val="28"/>
          <w:szCs w:val="28"/>
        </w:rPr>
      </w:pPr>
      <w:r>
        <w:rPr>
          <w:rFonts w:ascii="Times New Roman" w:hAnsi="Times New Roman"/>
          <w:sz w:val="28"/>
          <w:szCs w:val="28"/>
        </w:rPr>
        <w:t>Желудочно-кишечный тракт является наиболее заселенным паразитами органом у большинства видов животных. И по причине значительного видового разнообразия паразитов и симбионтов пищеварительной трубки выявить отношения между конкретными видами как на полевых, так и на экспериментальных данных бывает затруднительно.</w:t>
      </w:r>
    </w:p>
    <w:p w:rsidR="0052525C" w:rsidRDefault="0052525C" w:rsidP="00EF47E0">
      <w:pPr>
        <w:pStyle w:val="NoSpacing"/>
        <w:spacing w:line="360" w:lineRule="auto"/>
        <w:ind w:firstLine="709"/>
        <w:jc w:val="both"/>
        <w:rPr>
          <w:rFonts w:ascii="Times New Roman" w:hAnsi="Times New Roman"/>
          <w:sz w:val="28"/>
          <w:szCs w:val="28"/>
        </w:rPr>
      </w:pPr>
      <w:r>
        <w:rPr>
          <w:rFonts w:ascii="Times New Roman" w:hAnsi="Times New Roman"/>
          <w:sz w:val="28"/>
          <w:szCs w:val="28"/>
        </w:rPr>
        <w:t>В тонком кишечнике остромордой лягушки в Среднем Прииртышье зарегистрированы два вида гельминтов – нематода</w:t>
      </w:r>
      <w:r>
        <w:rPr>
          <w:rFonts w:ascii="Times New Roman" w:hAnsi="Times New Roman"/>
          <w:sz w:val="28"/>
          <w:szCs w:val="28"/>
          <w:lang w:val="uk-UA"/>
        </w:rPr>
        <w:t xml:space="preserve"> </w:t>
      </w:r>
      <w:r>
        <w:rPr>
          <w:rFonts w:ascii="Times New Roman" w:hAnsi="Times New Roman"/>
          <w:sz w:val="28"/>
          <w:szCs w:val="28"/>
          <w:lang w:val="en-US"/>
        </w:rPr>
        <w:t>Oswaldocruziafiliformis</w:t>
      </w:r>
      <w:r>
        <w:rPr>
          <w:rFonts w:ascii="Times New Roman" w:hAnsi="Times New Roman"/>
          <w:sz w:val="28"/>
          <w:szCs w:val="28"/>
        </w:rPr>
        <w:t xml:space="preserve"> и трематода</w:t>
      </w:r>
      <w:r>
        <w:rPr>
          <w:rFonts w:ascii="Times New Roman" w:hAnsi="Times New Roman"/>
          <w:sz w:val="28"/>
          <w:szCs w:val="28"/>
          <w:lang w:val="uk-UA"/>
        </w:rPr>
        <w:t xml:space="preserve"> </w:t>
      </w:r>
      <w:r>
        <w:rPr>
          <w:rFonts w:ascii="Times New Roman" w:hAnsi="Times New Roman"/>
          <w:sz w:val="28"/>
          <w:szCs w:val="28"/>
          <w:lang w:val="en-US"/>
        </w:rPr>
        <w:t>Opisthioglypheranae</w:t>
      </w:r>
      <w:r>
        <w:rPr>
          <w:rFonts w:ascii="Times New Roman" w:hAnsi="Times New Roman"/>
          <w:sz w:val="28"/>
          <w:szCs w:val="28"/>
        </w:rPr>
        <w:t>.При таком ограниченном числе гастроинтестинальных паразитов можно получить достоверные сведения об их взаимодействиях на полевых данных – при большом количестве исследованных экземпляров хозяев.</w:t>
      </w:r>
    </w:p>
    <w:p w:rsidR="0052525C" w:rsidRPr="00510B65" w:rsidRDefault="0052525C" w:rsidP="00EF47E0">
      <w:pPr>
        <w:pStyle w:val="NoSpacing"/>
        <w:spacing w:line="360" w:lineRule="auto"/>
        <w:ind w:firstLine="709"/>
        <w:jc w:val="both"/>
        <w:rPr>
          <w:rFonts w:ascii="Times New Roman" w:hAnsi="Times New Roman"/>
          <w:b/>
          <w:sz w:val="28"/>
          <w:szCs w:val="28"/>
        </w:rPr>
      </w:pPr>
      <w:r w:rsidRPr="00F35F21">
        <w:rPr>
          <w:rFonts w:ascii="Times New Roman" w:hAnsi="Times New Roman"/>
          <w:b/>
          <w:sz w:val="28"/>
          <w:szCs w:val="28"/>
        </w:rPr>
        <w:t>Материал и методика.</w:t>
      </w:r>
      <w:r>
        <w:rPr>
          <w:rFonts w:ascii="Times New Roman" w:hAnsi="Times New Roman"/>
          <w:b/>
          <w:sz w:val="28"/>
          <w:szCs w:val="28"/>
          <w:lang w:val="uk-UA"/>
        </w:rPr>
        <w:t xml:space="preserve"> </w:t>
      </w:r>
      <w:r>
        <w:rPr>
          <w:rFonts w:ascii="Times New Roman" w:hAnsi="Times New Roman"/>
          <w:sz w:val="28"/>
          <w:szCs w:val="28"/>
        </w:rPr>
        <w:t xml:space="preserve">В бесснежный период (с конца апреля до начала октября) </w:t>
      </w:r>
      <w:smartTag w:uri="urn:schemas-microsoft-com:office:smarttags" w:element="metricconverter">
        <w:smartTagPr>
          <w:attr w:name="ProductID" w:val="2015 Г"/>
        </w:smartTagPr>
        <w:r>
          <w:rPr>
            <w:rFonts w:ascii="Times New Roman" w:hAnsi="Times New Roman"/>
            <w:sz w:val="28"/>
            <w:szCs w:val="28"/>
          </w:rPr>
          <w:t>2015 г</w:t>
        </w:r>
      </w:smartTag>
      <w:r>
        <w:rPr>
          <w:rFonts w:ascii="Times New Roman" w:hAnsi="Times New Roman"/>
          <w:sz w:val="28"/>
          <w:szCs w:val="28"/>
        </w:rPr>
        <w:t>. в пойме р. Усолка (небольшой правобережной протоки р. Иртыш в окрестностях г. Павлодара) были сделаны сборы остромордой лягушки общей численностью 224 экз.Лягушек</w:t>
      </w:r>
      <w:r w:rsidRPr="00244538">
        <w:rPr>
          <w:rFonts w:ascii="Times New Roman" w:hAnsi="Times New Roman"/>
          <w:sz w:val="28"/>
          <w:szCs w:val="28"/>
        </w:rPr>
        <w:t xml:space="preserve"> подвергали полному гельминтологическому вскрытию по общепринятым методикам </w:t>
      </w:r>
      <w:r w:rsidRPr="00244538">
        <w:rPr>
          <w:rFonts w:ascii="Times New Roman" w:hAnsi="Times New Roman"/>
          <w:sz w:val="28"/>
          <w:szCs w:val="28"/>
          <w:lang w:val="ru-MO"/>
        </w:rPr>
        <w:t>[</w:t>
      </w:r>
      <w:r>
        <w:rPr>
          <w:rFonts w:ascii="Times New Roman" w:hAnsi="Times New Roman"/>
          <w:sz w:val="28"/>
          <w:szCs w:val="28"/>
        </w:rPr>
        <w:t>1</w:t>
      </w:r>
      <w:r w:rsidRPr="00244538">
        <w:rPr>
          <w:rFonts w:ascii="Times New Roman" w:hAnsi="Times New Roman"/>
          <w:sz w:val="28"/>
          <w:szCs w:val="28"/>
          <w:lang w:val="ru-MO"/>
        </w:rPr>
        <w:t xml:space="preserve">]. </w:t>
      </w:r>
    </w:p>
    <w:p w:rsidR="0052525C" w:rsidRPr="003E5EAB" w:rsidRDefault="0052525C" w:rsidP="00EF47E0">
      <w:pPr>
        <w:pStyle w:val="NoSpacing"/>
        <w:spacing w:line="360" w:lineRule="auto"/>
        <w:ind w:firstLine="709"/>
        <w:jc w:val="both"/>
        <w:rPr>
          <w:rFonts w:ascii="Times New Roman" w:hAnsi="Times New Roman"/>
          <w:sz w:val="28"/>
          <w:szCs w:val="28"/>
        </w:rPr>
      </w:pPr>
      <w:r>
        <w:rPr>
          <w:rFonts w:ascii="Times New Roman" w:hAnsi="Times New Roman"/>
          <w:sz w:val="28"/>
          <w:szCs w:val="28"/>
          <w:lang w:val="ru-MO"/>
        </w:rPr>
        <w:t>Для оценки межвидовых отношений гельминтов мы брали за основу методики Г.С.Маркова</w:t>
      </w:r>
      <w:r w:rsidRPr="00FA745D">
        <w:rPr>
          <w:rFonts w:ascii="Times New Roman" w:hAnsi="Times New Roman"/>
          <w:sz w:val="28"/>
          <w:szCs w:val="28"/>
        </w:rPr>
        <w:t>[</w:t>
      </w:r>
      <w:r>
        <w:rPr>
          <w:rFonts w:ascii="Times New Roman" w:hAnsi="Times New Roman"/>
          <w:sz w:val="28"/>
          <w:szCs w:val="28"/>
        </w:rPr>
        <w:t>2, 3</w:t>
      </w:r>
      <w:r w:rsidRPr="00FA745D">
        <w:rPr>
          <w:rFonts w:ascii="Times New Roman" w:hAnsi="Times New Roman"/>
          <w:sz w:val="28"/>
          <w:szCs w:val="28"/>
        </w:rPr>
        <w:t>]</w:t>
      </w:r>
      <w:r>
        <w:rPr>
          <w:rFonts w:ascii="Times New Roman" w:hAnsi="Times New Roman"/>
          <w:sz w:val="28"/>
          <w:szCs w:val="28"/>
        </w:rPr>
        <w:t xml:space="preserve"> и В.Г.Ваккера</w:t>
      </w:r>
      <w:r w:rsidRPr="00FA745D">
        <w:rPr>
          <w:rFonts w:ascii="Times New Roman" w:hAnsi="Times New Roman"/>
          <w:sz w:val="28"/>
          <w:szCs w:val="28"/>
        </w:rPr>
        <w:t>[</w:t>
      </w:r>
      <w:r>
        <w:rPr>
          <w:rFonts w:ascii="Times New Roman" w:hAnsi="Times New Roman"/>
          <w:sz w:val="28"/>
          <w:szCs w:val="28"/>
        </w:rPr>
        <w:t>4</w:t>
      </w:r>
      <w:r w:rsidRPr="00FA745D">
        <w:rPr>
          <w:rFonts w:ascii="Times New Roman" w:hAnsi="Times New Roman"/>
          <w:sz w:val="28"/>
          <w:szCs w:val="28"/>
        </w:rPr>
        <w:t>]</w:t>
      </w:r>
      <w:r>
        <w:rPr>
          <w:rFonts w:ascii="Times New Roman" w:hAnsi="Times New Roman"/>
          <w:sz w:val="28"/>
          <w:szCs w:val="28"/>
        </w:rPr>
        <w:t xml:space="preserve">, сопоставляя численность сколецид в бинарном сочетании и при отсутствии другого вида гельминтов. </w:t>
      </w:r>
    </w:p>
    <w:p w:rsidR="0052525C" w:rsidRPr="002E35BE" w:rsidRDefault="0052525C" w:rsidP="00EF47E0">
      <w:pPr>
        <w:pStyle w:val="NoSpacing"/>
        <w:spacing w:line="360" w:lineRule="auto"/>
        <w:ind w:firstLine="709"/>
        <w:jc w:val="both"/>
        <w:rPr>
          <w:rFonts w:ascii="Times New Roman" w:hAnsi="Times New Roman"/>
          <w:sz w:val="28"/>
          <w:szCs w:val="28"/>
          <w:lang w:eastAsia="ko-KR"/>
        </w:rPr>
      </w:pPr>
      <w:r w:rsidRPr="002E35BE">
        <w:rPr>
          <w:rFonts w:ascii="Times New Roman" w:hAnsi="Times New Roman"/>
          <w:sz w:val="28"/>
          <w:szCs w:val="28"/>
        </w:rPr>
        <w:t>Пр</w:t>
      </w:r>
      <w:r>
        <w:rPr>
          <w:rFonts w:ascii="Times New Roman" w:hAnsi="Times New Roman"/>
          <w:sz w:val="28"/>
          <w:szCs w:val="28"/>
        </w:rPr>
        <w:t>и определении зависимости численности червей от присутствия другого вида паразитов</w:t>
      </w:r>
      <w:r w:rsidRPr="002E35BE">
        <w:rPr>
          <w:rFonts w:ascii="Times New Roman" w:hAnsi="Times New Roman"/>
          <w:sz w:val="28"/>
          <w:szCs w:val="28"/>
        </w:rPr>
        <w:t xml:space="preserve"> применяли критерий Пирсона "</w:t>
      </w:r>
      <w:r w:rsidRPr="002E35BE">
        <w:rPr>
          <w:rFonts w:ascii="Times New Roman" w:hAnsi="Times New Roman"/>
          <w:sz w:val="28"/>
          <w:szCs w:val="28"/>
          <w:lang w:val="en-US"/>
        </w:rPr>
        <w:t>χ</w:t>
      </w:r>
      <w:r w:rsidRPr="002E35BE">
        <w:rPr>
          <w:rFonts w:ascii="Times New Roman" w:hAnsi="Times New Roman"/>
          <w:sz w:val="28"/>
          <w:szCs w:val="28"/>
          <w:vertAlign w:val="superscript"/>
        </w:rPr>
        <w:t>2</w:t>
      </w:r>
      <w:r w:rsidRPr="002E35BE">
        <w:rPr>
          <w:rFonts w:ascii="Times New Roman" w:hAnsi="Times New Roman"/>
          <w:sz w:val="28"/>
          <w:szCs w:val="28"/>
        </w:rPr>
        <w:t>" (хи-квадрат). При этом теоретическую численность гельминт</w:t>
      </w:r>
      <w:r>
        <w:rPr>
          <w:rFonts w:ascii="Times New Roman" w:hAnsi="Times New Roman"/>
          <w:sz w:val="28"/>
          <w:szCs w:val="28"/>
        </w:rPr>
        <w:t>а в присутствии или отсутствии вида-конкурента</w:t>
      </w:r>
      <w:r w:rsidRPr="002E35BE">
        <w:rPr>
          <w:rFonts w:ascii="Times New Roman" w:hAnsi="Times New Roman"/>
          <w:sz w:val="28"/>
          <w:szCs w:val="28"/>
        </w:rPr>
        <w:t xml:space="preserve"> определяли, исходя из нулевой гипотезы о равномерном распределении обилия ско</w:t>
      </w:r>
      <w:r>
        <w:rPr>
          <w:rFonts w:ascii="Times New Roman" w:hAnsi="Times New Roman"/>
          <w:sz w:val="28"/>
          <w:szCs w:val="28"/>
        </w:rPr>
        <w:t>лецид.</w:t>
      </w:r>
      <w:r>
        <w:rPr>
          <w:rFonts w:ascii="Times New Roman" w:hAnsi="Times New Roman"/>
          <w:sz w:val="28"/>
          <w:szCs w:val="28"/>
          <w:lang w:val="uk-UA"/>
        </w:rPr>
        <w:t xml:space="preserve"> </w:t>
      </w:r>
      <w:r w:rsidRPr="002E35BE">
        <w:rPr>
          <w:rFonts w:ascii="Times New Roman" w:hAnsi="Times New Roman"/>
          <w:sz w:val="28"/>
          <w:szCs w:val="28"/>
        </w:rPr>
        <w:t xml:space="preserve">Теоретическую и фактическую численность сравнивали при помощи критерия Пирсона " </w:t>
      </w:r>
      <w:r w:rsidRPr="002E35BE">
        <w:rPr>
          <w:rFonts w:ascii="Times New Roman" w:hAnsi="Times New Roman"/>
          <w:sz w:val="28"/>
          <w:szCs w:val="28"/>
          <w:lang w:val="en-US"/>
        </w:rPr>
        <w:t>χ</w:t>
      </w:r>
      <w:r w:rsidRPr="002E35BE">
        <w:rPr>
          <w:rFonts w:ascii="Times New Roman" w:hAnsi="Times New Roman"/>
          <w:sz w:val="28"/>
          <w:szCs w:val="28"/>
          <w:vertAlign w:val="superscript"/>
        </w:rPr>
        <w:t>2</w:t>
      </w:r>
      <w:r w:rsidRPr="002E35BE">
        <w:rPr>
          <w:rFonts w:ascii="Times New Roman" w:hAnsi="Times New Roman"/>
          <w:sz w:val="28"/>
          <w:szCs w:val="28"/>
        </w:rPr>
        <w:t xml:space="preserve">" </w:t>
      </w:r>
      <w:r>
        <w:rPr>
          <w:rFonts w:ascii="Times New Roman" w:hAnsi="Times New Roman"/>
          <w:sz w:val="28"/>
          <w:szCs w:val="28"/>
        </w:rPr>
        <w:t>[5]</w:t>
      </w:r>
      <w:r w:rsidRPr="002E35BE">
        <w:rPr>
          <w:rFonts w:ascii="Times New Roman" w:hAnsi="Times New Roman"/>
          <w:sz w:val="28"/>
          <w:szCs w:val="28"/>
        </w:rPr>
        <w:t xml:space="preserve">. </w:t>
      </w:r>
    </w:p>
    <w:p w:rsidR="0052525C" w:rsidRPr="002E35BE" w:rsidRDefault="0052525C" w:rsidP="00EF47E0">
      <w:pPr>
        <w:pStyle w:val="NoSpacing"/>
        <w:spacing w:line="360" w:lineRule="auto"/>
        <w:ind w:firstLine="709"/>
        <w:jc w:val="both"/>
        <w:rPr>
          <w:rFonts w:ascii="Times New Roman" w:hAnsi="Times New Roman"/>
          <w:sz w:val="28"/>
          <w:szCs w:val="28"/>
          <w:lang w:eastAsia="ko-KR"/>
        </w:rPr>
      </w:pPr>
      <w:r w:rsidRPr="002E35BE">
        <w:rPr>
          <w:rFonts w:ascii="Times New Roman" w:hAnsi="Times New Roman"/>
          <w:sz w:val="28"/>
          <w:szCs w:val="28"/>
        </w:rPr>
        <w:t>Знак и степень отклонения теоретического обилия от фактически наблюдаемого определяли при помощи показателя степени приуроченности относительного обилия Ю.А.Песенко</w:t>
      </w:r>
      <w:r>
        <w:rPr>
          <w:rFonts w:ascii="Times New Roman" w:hAnsi="Times New Roman"/>
          <w:sz w:val="28"/>
          <w:szCs w:val="28"/>
          <w:lang w:val="uk-UA"/>
        </w:rPr>
        <w:t xml:space="preserve"> </w:t>
      </w:r>
      <w:r w:rsidRPr="002E35BE">
        <w:rPr>
          <w:rFonts w:ascii="Times New Roman" w:hAnsi="Times New Roman"/>
          <w:sz w:val="28"/>
          <w:szCs w:val="28"/>
          <w:lang w:val="en-US"/>
        </w:rPr>
        <w:t>Fij</w:t>
      </w:r>
      <w:r>
        <w:rPr>
          <w:rFonts w:ascii="Times New Roman" w:hAnsi="Times New Roman"/>
          <w:sz w:val="28"/>
          <w:szCs w:val="28"/>
        </w:rPr>
        <w:t xml:space="preserve"> (Песенко [6</w:t>
      </w:r>
      <w:r w:rsidRPr="002E35BE">
        <w:rPr>
          <w:rFonts w:ascii="Times New Roman" w:hAnsi="Times New Roman"/>
          <w:sz w:val="28"/>
          <w:szCs w:val="28"/>
        </w:rPr>
        <w:t>]) по формуле:</w:t>
      </w:r>
    </w:p>
    <w:p w:rsidR="0052525C" w:rsidRPr="002E35BE" w:rsidRDefault="0052525C" w:rsidP="00EF47E0">
      <w:pPr>
        <w:pStyle w:val="NoSpacing"/>
        <w:spacing w:line="360" w:lineRule="auto"/>
        <w:ind w:firstLine="709"/>
        <w:jc w:val="both"/>
        <w:rPr>
          <w:rFonts w:ascii="Times New Roman" w:hAnsi="Times New Roman"/>
          <w:sz w:val="28"/>
          <w:szCs w:val="28"/>
          <w:lang w:eastAsia="ko-KR"/>
        </w:rPr>
      </w:pPr>
      <w:r w:rsidRPr="002E35BE">
        <w:rPr>
          <w:rFonts w:ascii="Times New Roman" w:hAnsi="Times New Roman"/>
          <w:position w:val="-62"/>
          <w:sz w:val="28"/>
          <w:szCs w:val="28"/>
        </w:rPr>
        <w:object w:dxaOrig="1859" w:dyaOrig="1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68.25pt" o:ole="" fillcolor="window">
            <v:imagedata r:id="rId4" o:title=""/>
          </v:shape>
          <o:OLEObject Type="Embed" ProgID="Equation.3" ShapeID="_x0000_i1025" DrawAspect="Content" ObjectID="_1523392076" r:id="rId5"/>
        </w:object>
      </w:r>
      <w:r w:rsidRPr="002E35BE">
        <w:rPr>
          <w:rFonts w:ascii="Times New Roman" w:hAnsi="Times New Roman"/>
          <w:sz w:val="28"/>
          <w:szCs w:val="28"/>
        </w:rPr>
        <w:t>,</w:t>
      </w:r>
    </w:p>
    <w:p w:rsidR="0052525C" w:rsidRPr="002E35BE" w:rsidRDefault="0052525C" w:rsidP="00521782">
      <w:pPr>
        <w:pStyle w:val="NoSpacing"/>
        <w:tabs>
          <w:tab w:val="left" w:pos="2655"/>
        </w:tabs>
        <w:spacing w:line="360" w:lineRule="auto"/>
        <w:ind w:firstLine="709"/>
        <w:jc w:val="both"/>
        <w:rPr>
          <w:rFonts w:ascii="Times New Roman" w:hAnsi="Times New Roman"/>
          <w:sz w:val="28"/>
          <w:szCs w:val="28"/>
          <w:lang w:eastAsia="ko-KR"/>
        </w:rPr>
      </w:pPr>
      <w:r w:rsidRPr="002E35BE">
        <w:rPr>
          <w:rFonts w:ascii="Times New Roman" w:hAnsi="Times New Roman"/>
          <w:sz w:val="28"/>
          <w:szCs w:val="28"/>
        </w:rPr>
        <w:t xml:space="preserve">где   </w:t>
      </w:r>
      <w:r w:rsidRPr="002E35BE">
        <w:rPr>
          <w:rFonts w:ascii="Times New Roman" w:hAnsi="Times New Roman"/>
          <w:sz w:val="28"/>
          <w:szCs w:val="28"/>
          <w:lang w:val="en-US"/>
        </w:rPr>
        <w:t>n</w:t>
      </w:r>
      <w:r w:rsidRPr="002E35BE">
        <w:rPr>
          <w:rFonts w:ascii="Times New Roman" w:hAnsi="Times New Roman"/>
          <w:sz w:val="28"/>
          <w:szCs w:val="28"/>
          <w:vertAlign w:val="subscript"/>
          <w:lang w:val="en-US"/>
        </w:rPr>
        <w:t>i</w:t>
      </w:r>
      <w:r w:rsidRPr="002E35BE">
        <w:rPr>
          <w:rFonts w:ascii="Times New Roman" w:hAnsi="Times New Roman"/>
          <w:sz w:val="28"/>
          <w:szCs w:val="28"/>
        </w:rPr>
        <w:t xml:space="preserve"> - фактическое обилие вида в </w:t>
      </w:r>
      <w:r w:rsidRPr="002E35BE">
        <w:rPr>
          <w:rFonts w:ascii="Times New Roman" w:hAnsi="Times New Roman"/>
          <w:sz w:val="28"/>
          <w:szCs w:val="28"/>
          <w:lang w:val="en-US"/>
        </w:rPr>
        <w:t>i</w:t>
      </w:r>
      <w:r w:rsidRPr="002E35BE">
        <w:rPr>
          <w:rFonts w:ascii="Times New Roman" w:hAnsi="Times New Roman"/>
          <w:sz w:val="28"/>
          <w:szCs w:val="28"/>
        </w:rPr>
        <w:t xml:space="preserve">-ой выборке гельминтов из </w:t>
      </w:r>
      <w:r w:rsidRPr="002E35BE">
        <w:rPr>
          <w:rFonts w:ascii="Times New Roman" w:hAnsi="Times New Roman"/>
          <w:sz w:val="28"/>
          <w:szCs w:val="28"/>
          <w:lang w:val="en-US"/>
        </w:rPr>
        <w:t>Nj</w:t>
      </w:r>
      <w:r w:rsidRPr="002E35BE">
        <w:rPr>
          <w:rFonts w:ascii="Times New Roman" w:hAnsi="Times New Roman"/>
          <w:sz w:val="28"/>
          <w:szCs w:val="28"/>
        </w:rPr>
        <w:t xml:space="preserve"> хозяев; </w:t>
      </w:r>
      <w:r w:rsidRPr="002E35BE">
        <w:rPr>
          <w:rFonts w:ascii="Times New Roman" w:hAnsi="Times New Roman"/>
          <w:sz w:val="28"/>
          <w:szCs w:val="28"/>
          <w:lang w:val="en-US"/>
        </w:rPr>
        <w:t>n</w:t>
      </w:r>
      <w:r w:rsidRPr="002E35BE">
        <w:rPr>
          <w:rFonts w:ascii="Times New Roman" w:hAnsi="Times New Roman"/>
          <w:sz w:val="28"/>
          <w:szCs w:val="28"/>
        </w:rPr>
        <w:t xml:space="preserve"> - общее число гельминтов из всех   </w:t>
      </w:r>
      <w:r w:rsidRPr="002E35BE">
        <w:rPr>
          <w:rFonts w:ascii="Times New Roman" w:hAnsi="Times New Roman"/>
          <w:sz w:val="28"/>
          <w:szCs w:val="28"/>
          <w:lang w:val="en-US"/>
        </w:rPr>
        <w:t>N</w:t>
      </w:r>
      <w:r w:rsidRPr="002E35BE">
        <w:rPr>
          <w:rFonts w:ascii="Times New Roman" w:hAnsi="Times New Roman"/>
          <w:sz w:val="28"/>
          <w:szCs w:val="28"/>
        </w:rPr>
        <w:t xml:space="preserve"> особей хозяев. При </w:t>
      </w:r>
      <w:r w:rsidRPr="002E35BE">
        <w:rPr>
          <w:rFonts w:ascii="Times New Roman" w:hAnsi="Times New Roman"/>
          <w:sz w:val="28"/>
          <w:szCs w:val="28"/>
          <w:lang w:val="en-US"/>
        </w:rPr>
        <w:t>Fij</w:t>
      </w:r>
      <w:r w:rsidRPr="002E35BE">
        <w:rPr>
          <w:rFonts w:ascii="Times New Roman" w:hAnsi="Times New Roman"/>
          <w:sz w:val="28"/>
          <w:szCs w:val="28"/>
        </w:rPr>
        <w:t xml:space="preserve"> = -1 выборка хозяина полностью "отвергается" гельминтом, при </w:t>
      </w:r>
      <w:r w:rsidRPr="002E35BE">
        <w:rPr>
          <w:rFonts w:ascii="Times New Roman" w:hAnsi="Times New Roman"/>
          <w:sz w:val="28"/>
          <w:szCs w:val="28"/>
          <w:lang w:val="en-US"/>
        </w:rPr>
        <w:t>Fij</w:t>
      </w:r>
      <w:r w:rsidRPr="002E35BE">
        <w:rPr>
          <w:rFonts w:ascii="Times New Roman" w:hAnsi="Times New Roman"/>
          <w:sz w:val="28"/>
          <w:szCs w:val="28"/>
        </w:rPr>
        <w:t xml:space="preserve"> = +1 - полностью "предпочитается"; при показателе приуроченности, близком к нулю, паразит индифферентен к данной группе хозяев.</w:t>
      </w:r>
    </w:p>
    <w:p w:rsidR="0052525C" w:rsidRPr="002E35BE" w:rsidRDefault="0052525C" w:rsidP="00EF47E0">
      <w:pPr>
        <w:pStyle w:val="NoSpacing"/>
        <w:spacing w:line="360" w:lineRule="auto"/>
        <w:ind w:firstLine="709"/>
        <w:jc w:val="both"/>
        <w:rPr>
          <w:rFonts w:ascii="Times New Roman" w:hAnsi="Times New Roman"/>
          <w:sz w:val="28"/>
          <w:szCs w:val="28"/>
        </w:rPr>
      </w:pPr>
      <w:r>
        <w:rPr>
          <w:rFonts w:ascii="Times New Roman" w:hAnsi="Times New Roman"/>
          <w:sz w:val="28"/>
          <w:szCs w:val="28"/>
        </w:rPr>
        <w:t>Кроме того, мы рассчитывали и другие показатели численности гельминтов при совместном и раздельном паразитировании: интенсивность инвазии (среднее число гельминтов на одну особь хозяина в данном сочетании) и долю червей в данном сочетании – от общего количества гельминтов в исследованной годовой выборке.</w:t>
      </w:r>
    </w:p>
    <w:p w:rsidR="0052525C" w:rsidRDefault="0052525C" w:rsidP="00EF47E0">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Для сравнения фактической и ожидаемой совместной встречаемости гельминтов мы сравнивали долю хозяев, зараженных данным сочетанием, и теоретическую долю совместной встречаемости легочных гельминтов. Последнюю рассчитывали путем перемножения долей зараженности хозяев каждым гельминтом (в долях единицы) – исходя из того, что вероятность одновременного события равна произведению вероятностей. </w:t>
      </w:r>
    </w:p>
    <w:p w:rsidR="0052525C" w:rsidRDefault="0052525C" w:rsidP="00EF47E0">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Кроме того, мы подсчитывали долю сочетаний гельминтов (бинарное сочетание, моноинвазия данным видом) среди зараженных хозяев. Эти показатели в определенной мере отражают тенденцию совместной или раздельной встречаемости двух видов гельминтов – независимо от их причин (среди которых может быть как межвидовой антагонизм, так и приуроченность к разным биотопам, половозрастным группам лягушек и т.д.). </w:t>
      </w:r>
    </w:p>
    <w:p w:rsidR="0052525C" w:rsidRDefault="0052525C" w:rsidP="00EF47E0">
      <w:pPr>
        <w:pStyle w:val="NoSpacing"/>
        <w:spacing w:line="360" w:lineRule="auto"/>
        <w:ind w:firstLine="709"/>
        <w:jc w:val="both"/>
        <w:rPr>
          <w:rFonts w:ascii="Times New Roman" w:hAnsi="Times New Roman"/>
          <w:sz w:val="28"/>
          <w:szCs w:val="28"/>
        </w:rPr>
      </w:pPr>
      <w:r w:rsidRPr="00557B50">
        <w:rPr>
          <w:rFonts w:ascii="Times New Roman" w:hAnsi="Times New Roman"/>
          <w:b/>
          <w:sz w:val="28"/>
          <w:szCs w:val="28"/>
        </w:rPr>
        <w:t>Результаты и их обсуждение.</w:t>
      </w:r>
      <w:r>
        <w:rPr>
          <w:rFonts w:ascii="Times New Roman" w:hAnsi="Times New Roman"/>
          <w:b/>
          <w:sz w:val="28"/>
          <w:szCs w:val="28"/>
          <w:lang w:val="uk-UA"/>
        </w:rPr>
        <w:t xml:space="preserve"> </w:t>
      </w:r>
      <w:r>
        <w:rPr>
          <w:rFonts w:ascii="Times New Roman" w:hAnsi="Times New Roman"/>
          <w:sz w:val="28"/>
          <w:szCs w:val="28"/>
        </w:rPr>
        <w:t xml:space="preserve">Как видно из приведенной ниже таблицы, фактическая доля хозяев, зараженных одновременно </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filiformis</w:t>
      </w:r>
      <w:r>
        <w:rPr>
          <w:rFonts w:ascii="Times New Roman" w:hAnsi="Times New Roman"/>
          <w:sz w:val="28"/>
          <w:szCs w:val="28"/>
        </w:rPr>
        <w:t xml:space="preserve"> и </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ranae</w:t>
      </w:r>
      <w:r>
        <w:rPr>
          <w:rFonts w:ascii="Times New Roman" w:hAnsi="Times New Roman"/>
          <w:sz w:val="28"/>
          <w:szCs w:val="28"/>
        </w:rPr>
        <w:t xml:space="preserve">, совпадает с теоретически рассчитанной. Но при этом значительная часть трематод находится в сочетаниях с нематодами, тогда как последние, наоборот, чаще встречаются без </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ranae</w:t>
      </w:r>
      <w:r>
        <w:rPr>
          <w:rFonts w:ascii="Times New Roman" w:hAnsi="Times New Roman"/>
          <w:sz w:val="28"/>
          <w:szCs w:val="28"/>
        </w:rPr>
        <w:t xml:space="preserve">. </w:t>
      </w:r>
    </w:p>
    <w:p w:rsidR="0052525C" w:rsidRPr="006B746B" w:rsidRDefault="0052525C" w:rsidP="00EF47E0">
      <w:pPr>
        <w:pStyle w:val="NoSpacing"/>
        <w:tabs>
          <w:tab w:val="left" w:pos="1590"/>
        </w:tabs>
        <w:spacing w:line="360" w:lineRule="auto"/>
        <w:ind w:firstLine="709"/>
        <w:jc w:val="both"/>
        <w:rPr>
          <w:rFonts w:ascii="Times New Roman" w:hAnsi="Times New Roman"/>
          <w:sz w:val="28"/>
          <w:szCs w:val="28"/>
        </w:rPr>
      </w:pPr>
      <w:r>
        <w:rPr>
          <w:rFonts w:ascii="Times New Roman" w:hAnsi="Times New Roman"/>
          <w:sz w:val="28"/>
          <w:szCs w:val="28"/>
        </w:rPr>
        <w:t xml:space="preserve">Сопоставление фактического и теоретического числа гельминтов в различных сочетаниях показало, что трематода индифферентна к присутствию нематоды. </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filiformis</w:t>
      </w:r>
      <w:r>
        <w:rPr>
          <w:rFonts w:ascii="Times New Roman" w:hAnsi="Times New Roman"/>
          <w:sz w:val="28"/>
          <w:szCs w:val="28"/>
        </w:rPr>
        <w:t xml:space="preserve"> достоверно снижала свою численность в присутствии </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ranae</w:t>
      </w:r>
      <w:r>
        <w:rPr>
          <w:rFonts w:ascii="Times New Roman" w:hAnsi="Times New Roman"/>
          <w:sz w:val="28"/>
          <w:szCs w:val="28"/>
        </w:rPr>
        <w:t xml:space="preserve"> и демонстрировала отрицательную приуроченость к сочетаниям с трематодой.</w:t>
      </w:r>
    </w:p>
    <w:p w:rsidR="0052525C" w:rsidRDefault="0052525C" w:rsidP="00EF47E0">
      <w:pPr>
        <w:pStyle w:val="NoSpacing"/>
        <w:tabs>
          <w:tab w:val="left" w:pos="1590"/>
        </w:tabs>
        <w:spacing w:line="360" w:lineRule="auto"/>
        <w:ind w:firstLine="709"/>
        <w:jc w:val="both"/>
        <w:rPr>
          <w:rFonts w:ascii="Times New Roman" w:hAnsi="Times New Roman"/>
          <w:sz w:val="28"/>
          <w:szCs w:val="28"/>
        </w:rPr>
      </w:pPr>
    </w:p>
    <w:p w:rsidR="0052525C" w:rsidRDefault="0052525C" w:rsidP="00EF47E0">
      <w:pPr>
        <w:pStyle w:val="NoSpacing"/>
        <w:spacing w:line="360" w:lineRule="auto"/>
        <w:jc w:val="both"/>
        <w:rPr>
          <w:rFonts w:ascii="Times New Roman" w:hAnsi="Times New Roman"/>
          <w:sz w:val="28"/>
          <w:szCs w:val="28"/>
        </w:rPr>
      </w:pPr>
      <w:r>
        <w:rPr>
          <w:rFonts w:ascii="Times New Roman" w:hAnsi="Times New Roman"/>
          <w:sz w:val="28"/>
          <w:szCs w:val="28"/>
        </w:rPr>
        <w:t xml:space="preserve">Таблица – Влияние межвидовых взаимодействий на численность гастроинтестинальных гельминтов остромордой лягушки в припойменных биотопах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085"/>
        <w:gridCol w:w="1701"/>
        <w:gridCol w:w="1418"/>
        <w:gridCol w:w="1701"/>
        <w:gridCol w:w="1666"/>
      </w:tblGrid>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Моноинвазия</w:t>
            </w:r>
          </w:p>
        </w:tc>
        <w:tc>
          <w:tcPr>
            <w:tcW w:w="1418"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Бинарное сочетание</w:t>
            </w: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Бинарное сочетание</w:t>
            </w:r>
          </w:p>
        </w:tc>
        <w:tc>
          <w:tcPr>
            <w:tcW w:w="1666"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Моноинвазия</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Сочетание гельминтов</w:t>
            </w:r>
          </w:p>
        </w:tc>
        <w:tc>
          <w:tcPr>
            <w:tcW w:w="3119" w:type="dxa"/>
            <w:gridSpan w:val="2"/>
          </w:tcPr>
          <w:p w:rsidR="0052525C" w:rsidRPr="00823CE2" w:rsidRDefault="0052525C" w:rsidP="00823CE2">
            <w:pPr>
              <w:pStyle w:val="NoSpacing"/>
              <w:spacing w:line="360" w:lineRule="auto"/>
              <w:jc w:val="both"/>
              <w:rPr>
                <w:rFonts w:ascii="Times New Roman" w:hAnsi="Times New Roman"/>
                <w:sz w:val="24"/>
                <w:szCs w:val="24"/>
                <w:lang w:val="en-US" w:eastAsia="ru-RU"/>
              </w:rPr>
            </w:pPr>
            <w:r w:rsidRPr="00823CE2">
              <w:rPr>
                <w:rFonts w:ascii="Times New Roman" w:hAnsi="Times New Roman"/>
                <w:sz w:val="24"/>
                <w:szCs w:val="24"/>
                <w:lang w:val="en-US" w:eastAsia="ru-RU"/>
              </w:rPr>
              <w:t>Oswaldocruzia filiformis</w:t>
            </w:r>
          </w:p>
        </w:tc>
        <w:tc>
          <w:tcPr>
            <w:tcW w:w="3367" w:type="dxa"/>
            <w:gridSpan w:val="2"/>
          </w:tcPr>
          <w:p w:rsidR="0052525C" w:rsidRPr="00823CE2" w:rsidRDefault="0052525C" w:rsidP="00823CE2">
            <w:pPr>
              <w:pStyle w:val="NoSpacing"/>
              <w:spacing w:line="360" w:lineRule="auto"/>
              <w:jc w:val="both"/>
              <w:rPr>
                <w:rFonts w:ascii="Times New Roman" w:hAnsi="Times New Roman"/>
                <w:sz w:val="24"/>
                <w:szCs w:val="24"/>
                <w:lang w:val="en-US" w:eastAsia="ru-RU"/>
              </w:rPr>
            </w:pPr>
            <w:r w:rsidRPr="00823CE2">
              <w:rPr>
                <w:rFonts w:ascii="Times New Roman" w:hAnsi="Times New Roman"/>
                <w:sz w:val="24"/>
                <w:szCs w:val="24"/>
                <w:lang w:val="en-US" w:eastAsia="ru-RU"/>
              </w:rPr>
              <w:t>Opisthioglypheranae</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Число зараженных хозяев</w:t>
            </w:r>
          </w:p>
        </w:tc>
        <w:tc>
          <w:tcPr>
            <w:tcW w:w="1701"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93</w:t>
            </w:r>
          </w:p>
        </w:tc>
        <w:tc>
          <w:tcPr>
            <w:tcW w:w="3119" w:type="dxa"/>
            <w:gridSpan w:val="2"/>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38</w:t>
            </w:r>
          </w:p>
        </w:tc>
        <w:tc>
          <w:tcPr>
            <w:tcW w:w="1666"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21</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Доля зараженных хозяев (%)</w:t>
            </w:r>
          </w:p>
        </w:tc>
        <w:tc>
          <w:tcPr>
            <w:tcW w:w="1701"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41,52±3,29</w:t>
            </w:r>
          </w:p>
        </w:tc>
        <w:tc>
          <w:tcPr>
            <w:tcW w:w="3119" w:type="dxa"/>
            <w:gridSpan w:val="2"/>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16,96±2,51</w:t>
            </w:r>
          </w:p>
        </w:tc>
        <w:tc>
          <w:tcPr>
            <w:tcW w:w="1666"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9,375±1,95</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Теоретическая доля сочетаний (%)</w:t>
            </w:r>
          </w:p>
        </w:tc>
        <w:tc>
          <w:tcPr>
            <w:tcW w:w="6486" w:type="dxa"/>
            <w:gridSpan w:val="4"/>
          </w:tcPr>
          <w:p w:rsidR="0052525C" w:rsidRPr="00823CE2" w:rsidRDefault="0052525C" w:rsidP="00823CE2">
            <w:pPr>
              <w:spacing w:after="0" w:line="360" w:lineRule="auto"/>
              <w:jc w:val="center"/>
              <w:rPr>
                <w:sz w:val="24"/>
                <w:szCs w:val="24"/>
              </w:rPr>
            </w:pPr>
            <w:r w:rsidRPr="00823CE2">
              <w:rPr>
                <w:rFonts w:ascii="Times New Roman" w:hAnsi="Times New Roman"/>
                <w:sz w:val="24"/>
                <w:szCs w:val="24"/>
              </w:rPr>
              <w:t>0,5848 * 0,2634 = 0,15404 или 15,404%</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Число гельминтов</w:t>
            </w: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474</w:t>
            </w:r>
          </w:p>
        </w:tc>
        <w:tc>
          <w:tcPr>
            <w:tcW w:w="1418"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133</w:t>
            </w: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136</w:t>
            </w:r>
          </w:p>
        </w:tc>
        <w:tc>
          <w:tcPr>
            <w:tcW w:w="1666"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78</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Сумма квадратов</w:t>
            </w: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4754</w:t>
            </w:r>
          </w:p>
        </w:tc>
        <w:tc>
          <w:tcPr>
            <w:tcW w:w="1418"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743</w:t>
            </w: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660</w:t>
            </w:r>
          </w:p>
        </w:tc>
        <w:tc>
          <w:tcPr>
            <w:tcW w:w="1666"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402</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Интенсивность инвазии в сочетании (экз.)</w:t>
            </w: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5,10±0,52</w:t>
            </w:r>
          </w:p>
        </w:tc>
        <w:tc>
          <w:tcPr>
            <w:tcW w:w="1418"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3,5±0,44</w:t>
            </w: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3,58±0,35</w:t>
            </w:r>
          </w:p>
        </w:tc>
        <w:tc>
          <w:tcPr>
            <w:tcW w:w="1666"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3,71±0,52</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Теоретическое число червей</w:t>
            </w:r>
          </w:p>
        </w:tc>
        <w:tc>
          <w:tcPr>
            <w:tcW w:w="1701"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430,92</w:t>
            </w:r>
          </w:p>
        </w:tc>
        <w:tc>
          <w:tcPr>
            <w:tcW w:w="1418"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176,08</w:t>
            </w:r>
          </w:p>
        </w:tc>
        <w:tc>
          <w:tcPr>
            <w:tcW w:w="1701"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137,83</w:t>
            </w:r>
          </w:p>
        </w:tc>
        <w:tc>
          <w:tcPr>
            <w:tcW w:w="1666"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76,17</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Критерий Пирсона «χ</w:t>
            </w:r>
            <w:r w:rsidRPr="00823CE2">
              <w:rPr>
                <w:rFonts w:ascii="Times New Roman" w:hAnsi="Times New Roman"/>
                <w:sz w:val="24"/>
                <w:szCs w:val="24"/>
                <w:vertAlign w:val="superscript"/>
                <w:lang w:eastAsia="ru-RU"/>
              </w:rPr>
              <w:t>2</w:t>
            </w:r>
            <w:r w:rsidRPr="00823CE2">
              <w:rPr>
                <w:rFonts w:ascii="Times New Roman" w:hAnsi="Times New Roman"/>
                <w:sz w:val="24"/>
                <w:szCs w:val="24"/>
                <w:lang w:eastAsia="ru-RU"/>
              </w:rPr>
              <w:t>»</w:t>
            </w:r>
          </w:p>
        </w:tc>
        <w:tc>
          <w:tcPr>
            <w:tcW w:w="1701"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4,31</w:t>
            </w:r>
          </w:p>
        </w:tc>
        <w:tc>
          <w:tcPr>
            <w:tcW w:w="1418"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10,54</w:t>
            </w:r>
          </w:p>
        </w:tc>
        <w:tc>
          <w:tcPr>
            <w:tcW w:w="1701"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0,024</w:t>
            </w:r>
          </w:p>
        </w:tc>
        <w:tc>
          <w:tcPr>
            <w:tcW w:w="1666"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0,044</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Сумма «χ</w:t>
            </w:r>
            <w:r w:rsidRPr="00823CE2">
              <w:rPr>
                <w:rFonts w:ascii="Times New Roman" w:hAnsi="Times New Roman"/>
                <w:sz w:val="24"/>
                <w:szCs w:val="24"/>
                <w:vertAlign w:val="superscript"/>
                <w:lang w:eastAsia="ru-RU"/>
              </w:rPr>
              <w:t>2</w:t>
            </w:r>
            <w:r w:rsidRPr="00823CE2">
              <w:rPr>
                <w:rFonts w:ascii="Times New Roman" w:hAnsi="Times New Roman"/>
                <w:sz w:val="24"/>
                <w:szCs w:val="24"/>
                <w:lang w:eastAsia="ru-RU"/>
              </w:rPr>
              <w:t>»</w:t>
            </w:r>
          </w:p>
        </w:tc>
        <w:tc>
          <w:tcPr>
            <w:tcW w:w="3119" w:type="dxa"/>
            <w:gridSpan w:val="2"/>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14,85*</w:t>
            </w:r>
          </w:p>
        </w:tc>
        <w:tc>
          <w:tcPr>
            <w:tcW w:w="3367" w:type="dxa"/>
            <w:gridSpan w:val="2"/>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0,048</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val="en-US" w:eastAsia="ru-RU"/>
              </w:rPr>
            </w:pPr>
            <w:r w:rsidRPr="00823CE2">
              <w:rPr>
                <w:rFonts w:ascii="Times New Roman" w:hAnsi="Times New Roman"/>
                <w:sz w:val="24"/>
                <w:szCs w:val="24"/>
                <w:lang w:eastAsia="ru-RU"/>
              </w:rPr>
              <w:t xml:space="preserve">Показатель приуроченности </w:t>
            </w:r>
            <w:r w:rsidRPr="00823CE2">
              <w:rPr>
                <w:rFonts w:ascii="Times New Roman" w:hAnsi="Times New Roman"/>
                <w:sz w:val="24"/>
                <w:szCs w:val="24"/>
                <w:lang w:val="en-US" w:eastAsia="ru-RU"/>
              </w:rPr>
              <w:t>Fij</w:t>
            </w:r>
          </w:p>
        </w:tc>
        <w:tc>
          <w:tcPr>
            <w:tcW w:w="1701"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+0,186</w:t>
            </w:r>
          </w:p>
        </w:tc>
        <w:tc>
          <w:tcPr>
            <w:tcW w:w="1418"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-0,186</w:t>
            </w:r>
          </w:p>
        </w:tc>
        <w:tc>
          <w:tcPr>
            <w:tcW w:w="1701"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-0,018</w:t>
            </w:r>
          </w:p>
        </w:tc>
        <w:tc>
          <w:tcPr>
            <w:tcW w:w="1666" w:type="dxa"/>
          </w:tcPr>
          <w:p w:rsidR="0052525C" w:rsidRPr="00823CE2" w:rsidRDefault="0052525C" w:rsidP="00823CE2">
            <w:pPr>
              <w:pStyle w:val="NoSpacing"/>
              <w:spacing w:line="360" w:lineRule="auto"/>
              <w:jc w:val="center"/>
              <w:rPr>
                <w:rFonts w:ascii="Times New Roman" w:hAnsi="Times New Roman"/>
                <w:sz w:val="24"/>
                <w:szCs w:val="24"/>
                <w:lang w:eastAsia="ru-RU"/>
              </w:rPr>
            </w:pPr>
            <w:r w:rsidRPr="00823CE2">
              <w:rPr>
                <w:rFonts w:ascii="Times New Roman" w:hAnsi="Times New Roman"/>
                <w:sz w:val="24"/>
                <w:szCs w:val="24"/>
                <w:lang w:eastAsia="ru-RU"/>
              </w:rPr>
              <w:t>+0,018</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Доля червей в данном сочетании (%)</w:t>
            </w: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78,09±1,68</w:t>
            </w:r>
          </w:p>
        </w:tc>
        <w:tc>
          <w:tcPr>
            <w:tcW w:w="1418"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21,91±1,68</w:t>
            </w: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63,55±3,29</w:t>
            </w:r>
          </w:p>
        </w:tc>
        <w:tc>
          <w:tcPr>
            <w:tcW w:w="1666"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36,45±3,29</w:t>
            </w:r>
          </w:p>
        </w:tc>
      </w:tr>
      <w:tr w:rsidR="0052525C" w:rsidRPr="00823CE2" w:rsidTr="00823CE2">
        <w:tc>
          <w:tcPr>
            <w:tcW w:w="3085"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Доля сочетаний среди зараженных хозяев (%)</w:t>
            </w: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70,99±3,96</w:t>
            </w:r>
          </w:p>
        </w:tc>
        <w:tc>
          <w:tcPr>
            <w:tcW w:w="1418"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29,01±3,96</w:t>
            </w:r>
          </w:p>
        </w:tc>
        <w:tc>
          <w:tcPr>
            <w:tcW w:w="1701"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64,41±6,23</w:t>
            </w:r>
          </w:p>
        </w:tc>
        <w:tc>
          <w:tcPr>
            <w:tcW w:w="1666" w:type="dxa"/>
          </w:tcPr>
          <w:p w:rsidR="0052525C" w:rsidRPr="00823CE2" w:rsidRDefault="0052525C" w:rsidP="00823CE2">
            <w:pPr>
              <w:pStyle w:val="NoSpacing"/>
              <w:spacing w:line="360" w:lineRule="auto"/>
              <w:jc w:val="both"/>
              <w:rPr>
                <w:rFonts w:ascii="Times New Roman" w:hAnsi="Times New Roman"/>
                <w:sz w:val="24"/>
                <w:szCs w:val="24"/>
                <w:lang w:eastAsia="ru-RU"/>
              </w:rPr>
            </w:pPr>
            <w:r w:rsidRPr="00823CE2">
              <w:rPr>
                <w:rFonts w:ascii="Times New Roman" w:hAnsi="Times New Roman"/>
                <w:sz w:val="24"/>
                <w:szCs w:val="24"/>
                <w:lang w:eastAsia="ru-RU"/>
              </w:rPr>
              <w:t>35,59±6,23</w:t>
            </w:r>
          </w:p>
        </w:tc>
      </w:tr>
    </w:tbl>
    <w:p w:rsidR="0052525C" w:rsidRDefault="0052525C" w:rsidP="00EF47E0">
      <w:pPr>
        <w:pStyle w:val="NoSpacing"/>
        <w:spacing w:line="360" w:lineRule="auto"/>
        <w:jc w:val="both"/>
        <w:rPr>
          <w:rFonts w:ascii="Times New Roman" w:hAnsi="Times New Roman"/>
          <w:sz w:val="28"/>
          <w:szCs w:val="28"/>
        </w:rPr>
      </w:pPr>
    </w:p>
    <w:p w:rsidR="0052525C" w:rsidRDefault="0052525C" w:rsidP="00EF47E0">
      <w:pPr>
        <w:pStyle w:val="NoSpacing"/>
        <w:tabs>
          <w:tab w:val="left" w:pos="3720"/>
        </w:tabs>
        <w:spacing w:line="360" w:lineRule="auto"/>
        <w:ind w:firstLine="709"/>
        <w:jc w:val="both"/>
        <w:rPr>
          <w:rFonts w:ascii="Times New Roman" w:hAnsi="Times New Roman"/>
          <w:sz w:val="28"/>
          <w:szCs w:val="28"/>
        </w:rPr>
      </w:pPr>
    </w:p>
    <w:p w:rsidR="0052525C" w:rsidRDefault="0052525C" w:rsidP="00EF47E0">
      <w:pPr>
        <w:pStyle w:val="NoSpacing"/>
        <w:tabs>
          <w:tab w:val="left" w:pos="3720"/>
        </w:tabs>
        <w:spacing w:line="360" w:lineRule="auto"/>
        <w:ind w:firstLine="709"/>
        <w:jc w:val="both"/>
        <w:rPr>
          <w:rFonts w:ascii="Times New Roman" w:hAnsi="Times New Roman"/>
          <w:sz w:val="28"/>
          <w:szCs w:val="28"/>
        </w:rPr>
      </w:pPr>
      <w:r>
        <w:rPr>
          <w:rFonts w:ascii="Times New Roman" w:hAnsi="Times New Roman"/>
          <w:sz w:val="28"/>
          <w:szCs w:val="28"/>
        </w:rPr>
        <w:t xml:space="preserve">И хотя нематодами лягушки заражаются исключительно на суше, а трематодами – в воде, фактическая и рассчитанная (вероятностная) доля совместной встречаемости двух гельминтов разных классов совпадала. Это, вероятно, связано с образом жизни остромордой лягушки, одинаково хорошо адаптированной к жизни в воде и на суше (тем более – при постоянном контакте с водой в </w:t>
      </w:r>
      <w:smartTag w:uri="urn:schemas-microsoft-com:office:smarttags" w:element="metricconverter">
        <w:smartTagPr>
          <w:attr w:name="ProductID" w:val="2015 Г"/>
        </w:smartTagPr>
        <w:r>
          <w:rPr>
            <w:rFonts w:ascii="Times New Roman" w:hAnsi="Times New Roman"/>
            <w:sz w:val="28"/>
            <w:szCs w:val="28"/>
          </w:rPr>
          <w:t>2015 г</w:t>
        </w:r>
      </w:smartTag>
      <w:r>
        <w:rPr>
          <w:rFonts w:ascii="Times New Roman" w:hAnsi="Times New Roman"/>
          <w:sz w:val="28"/>
          <w:szCs w:val="28"/>
        </w:rPr>
        <w:t xml:space="preserve">., при значительном уровне воды в пойменных водоемах в связи с техногенными попусками). </w:t>
      </w:r>
    </w:p>
    <w:p w:rsidR="0052525C" w:rsidRDefault="0052525C" w:rsidP="00EF47E0">
      <w:pPr>
        <w:pStyle w:val="NoSpacing"/>
        <w:tabs>
          <w:tab w:val="left" w:pos="3720"/>
        </w:tabs>
        <w:spacing w:line="360" w:lineRule="auto"/>
        <w:ind w:firstLine="709"/>
        <w:jc w:val="both"/>
        <w:rPr>
          <w:rFonts w:ascii="Times New Roman" w:hAnsi="Times New Roman"/>
          <w:sz w:val="28"/>
          <w:szCs w:val="28"/>
        </w:rPr>
      </w:pPr>
      <w:r>
        <w:rPr>
          <w:rFonts w:ascii="Times New Roman" w:hAnsi="Times New Roman"/>
          <w:sz w:val="28"/>
          <w:szCs w:val="28"/>
        </w:rPr>
        <w:t>В числе факторов одностороннего угнетения кишечной нематоды (при индифферентности трематоды) мы можем предположительно назвать следующие.</w:t>
      </w:r>
    </w:p>
    <w:p w:rsidR="0052525C" w:rsidRDefault="0052525C" w:rsidP="00EF47E0">
      <w:pPr>
        <w:pStyle w:val="NoSpacing"/>
        <w:tabs>
          <w:tab w:val="left" w:pos="3720"/>
        </w:tabs>
        <w:spacing w:line="360" w:lineRule="auto"/>
        <w:ind w:firstLine="709"/>
        <w:jc w:val="both"/>
        <w:rPr>
          <w:rFonts w:ascii="Times New Roman" w:hAnsi="Times New Roman"/>
          <w:sz w:val="28"/>
          <w:szCs w:val="28"/>
        </w:rPr>
      </w:pPr>
      <w:r>
        <w:rPr>
          <w:rFonts w:ascii="Times New Roman" w:hAnsi="Times New Roman"/>
          <w:sz w:val="28"/>
          <w:szCs w:val="28"/>
        </w:rPr>
        <w:t xml:space="preserve">1) Разный порядок инвазии гельминтами. В </w:t>
      </w:r>
      <w:smartTag w:uri="urn:schemas-microsoft-com:office:smarttags" w:element="metricconverter">
        <w:smartTagPr>
          <w:attr w:name="ProductID" w:val="2015 Г"/>
        </w:smartTagPr>
        <w:r>
          <w:rPr>
            <w:rFonts w:ascii="Times New Roman" w:hAnsi="Times New Roman"/>
            <w:sz w:val="28"/>
            <w:szCs w:val="28"/>
          </w:rPr>
          <w:t>2015 г</w:t>
        </w:r>
      </w:smartTag>
      <w:r>
        <w:rPr>
          <w:rFonts w:ascii="Times New Roman" w:hAnsi="Times New Roman"/>
          <w:sz w:val="28"/>
          <w:szCs w:val="28"/>
        </w:rPr>
        <w:t xml:space="preserve">. молодые трематоды в значительном количестве были обнаружены у молодых лягушек (сеголеток и годовиков) во второй половине лета, и обычно заражали хозяев раньше нематод или почти одновременно. Вероятнее всего, головастики и лягушата играли роль как вторых промежуточных, так и дефинитивных хозяев </w:t>
      </w:r>
      <w:r>
        <w:rPr>
          <w:rFonts w:ascii="Times New Roman" w:hAnsi="Times New Roman"/>
          <w:sz w:val="28"/>
          <w:szCs w:val="28"/>
          <w:lang w:val="en-US"/>
        </w:rPr>
        <w:t>Opisthioglypheranae</w:t>
      </w:r>
      <w:r>
        <w:rPr>
          <w:rFonts w:ascii="Times New Roman" w:hAnsi="Times New Roman"/>
          <w:sz w:val="28"/>
          <w:szCs w:val="28"/>
        </w:rPr>
        <w:t xml:space="preserve">: в них формируются метацеркарии, которые затем мигрируют в кишечник и превращаются в зрелых марит. Такой сокращенный цикл развития известен для многих трематод семейства </w:t>
      </w:r>
      <w:r>
        <w:rPr>
          <w:rFonts w:ascii="Times New Roman" w:hAnsi="Times New Roman"/>
          <w:sz w:val="28"/>
          <w:szCs w:val="28"/>
          <w:lang w:val="en-US"/>
        </w:rPr>
        <w:t>Plagiorchidae</w:t>
      </w:r>
      <w:r w:rsidRPr="00D37C51">
        <w:rPr>
          <w:rFonts w:ascii="Times New Roman" w:hAnsi="Times New Roman"/>
          <w:sz w:val="28"/>
          <w:szCs w:val="28"/>
        </w:rPr>
        <w:t xml:space="preserve">, </w:t>
      </w:r>
      <w:r>
        <w:rPr>
          <w:rFonts w:ascii="Times New Roman" w:hAnsi="Times New Roman"/>
          <w:sz w:val="28"/>
          <w:szCs w:val="28"/>
        </w:rPr>
        <w:t xml:space="preserve">в том числе и </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ranae</w:t>
      </w:r>
      <w:r>
        <w:rPr>
          <w:rFonts w:ascii="Times New Roman" w:hAnsi="Times New Roman"/>
          <w:sz w:val="28"/>
          <w:szCs w:val="28"/>
        </w:rPr>
        <w:t>, ставшей объектом экспериментальных и полевых исследований амфиксении</w:t>
      </w:r>
      <w:r w:rsidRPr="00D37C51">
        <w:rPr>
          <w:rFonts w:ascii="Times New Roman" w:hAnsi="Times New Roman"/>
          <w:sz w:val="28"/>
          <w:szCs w:val="28"/>
        </w:rPr>
        <w:t xml:space="preserve"> [</w:t>
      </w:r>
      <w:r>
        <w:rPr>
          <w:rFonts w:ascii="Times New Roman" w:hAnsi="Times New Roman"/>
          <w:sz w:val="28"/>
          <w:szCs w:val="28"/>
        </w:rPr>
        <w:t xml:space="preserve">7, </w:t>
      </w:r>
      <w:r w:rsidRPr="00D37C51">
        <w:rPr>
          <w:rFonts w:ascii="Times New Roman" w:hAnsi="Times New Roman"/>
          <w:sz w:val="28"/>
          <w:szCs w:val="28"/>
        </w:rPr>
        <w:t>8</w:t>
      </w:r>
      <w:r>
        <w:rPr>
          <w:rFonts w:ascii="Times New Roman" w:hAnsi="Times New Roman"/>
          <w:sz w:val="28"/>
          <w:szCs w:val="28"/>
        </w:rPr>
        <w:t>, 9</w:t>
      </w:r>
      <w:r w:rsidRPr="00D37C51">
        <w:rPr>
          <w:rFonts w:ascii="Times New Roman" w:hAnsi="Times New Roman"/>
          <w:sz w:val="28"/>
          <w:szCs w:val="28"/>
        </w:rPr>
        <w:t>]</w:t>
      </w:r>
      <w:r>
        <w:rPr>
          <w:rFonts w:ascii="Times New Roman" w:hAnsi="Times New Roman"/>
          <w:sz w:val="28"/>
          <w:szCs w:val="28"/>
        </w:rPr>
        <w:t>. Гельминт, заразивший хозяина первым, меняет среду в органе локализации в свою пользу, и эти изменения могут оказаться неблагоприятными для других паразитов и симбионтов, заселившихся позже.</w:t>
      </w:r>
    </w:p>
    <w:p w:rsidR="0052525C" w:rsidRPr="00307178" w:rsidRDefault="0052525C" w:rsidP="00EF47E0">
      <w:pPr>
        <w:pStyle w:val="NoSpacing"/>
        <w:tabs>
          <w:tab w:val="left" w:pos="3720"/>
        </w:tabs>
        <w:spacing w:line="360" w:lineRule="auto"/>
        <w:ind w:firstLine="709"/>
        <w:jc w:val="both"/>
        <w:rPr>
          <w:rFonts w:ascii="Times New Roman" w:hAnsi="Times New Roman"/>
          <w:sz w:val="28"/>
          <w:szCs w:val="28"/>
        </w:rPr>
      </w:pPr>
      <w:r>
        <w:rPr>
          <w:rFonts w:ascii="Times New Roman" w:hAnsi="Times New Roman"/>
          <w:sz w:val="28"/>
          <w:szCs w:val="28"/>
        </w:rPr>
        <w:t>2) Возможность осмотического питания трематод, которая была доказана работами на микроморфологическом уровне [10</w:t>
      </w:r>
      <w:r w:rsidRPr="00307178">
        <w:rPr>
          <w:rFonts w:ascii="Times New Roman" w:hAnsi="Times New Roman"/>
          <w:sz w:val="28"/>
          <w:szCs w:val="28"/>
        </w:rPr>
        <w:t>]</w:t>
      </w:r>
      <w:r>
        <w:rPr>
          <w:rFonts w:ascii="Times New Roman" w:hAnsi="Times New Roman"/>
          <w:sz w:val="28"/>
          <w:szCs w:val="28"/>
        </w:rPr>
        <w:t xml:space="preserve">, дает гастроинтестинальным гельминтам этого класса дополнительную возможность усваивать питательные субстанции в кишечнике хозяина, а значит, определенное преимущество перед нематодами при любом порядке инвазии и локализации в кишечной трубке. </w:t>
      </w:r>
    </w:p>
    <w:p w:rsidR="0052525C" w:rsidRDefault="0052525C" w:rsidP="00EF47E0">
      <w:pPr>
        <w:pStyle w:val="NoSpacing"/>
        <w:tabs>
          <w:tab w:val="left" w:pos="3720"/>
        </w:tabs>
        <w:spacing w:line="360" w:lineRule="auto"/>
        <w:ind w:firstLine="709"/>
        <w:jc w:val="both"/>
        <w:rPr>
          <w:rFonts w:ascii="Times New Roman" w:hAnsi="Times New Roman"/>
          <w:sz w:val="28"/>
          <w:szCs w:val="28"/>
        </w:rPr>
      </w:pPr>
      <w:r>
        <w:rPr>
          <w:rFonts w:ascii="Times New Roman" w:hAnsi="Times New Roman"/>
          <w:sz w:val="28"/>
          <w:szCs w:val="28"/>
        </w:rPr>
        <w:t xml:space="preserve">3) Нельзя исключать и опосредующее влияние легочных гельминтов на взаимодействие обитателей кишечника. В 2015 году оба вида нематод остромордой лягушки (легочная </w:t>
      </w:r>
      <w:r>
        <w:rPr>
          <w:rFonts w:ascii="Times New Roman" w:hAnsi="Times New Roman"/>
          <w:sz w:val="28"/>
          <w:szCs w:val="28"/>
          <w:lang w:val="en-US"/>
        </w:rPr>
        <w:t>Rhabdiasbufonis</w:t>
      </w:r>
      <w:r>
        <w:rPr>
          <w:rFonts w:ascii="Times New Roman" w:hAnsi="Times New Roman"/>
          <w:sz w:val="28"/>
          <w:szCs w:val="28"/>
        </w:rPr>
        <w:t xml:space="preserve"> и гастроинтестинальная </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filiformis</w:t>
      </w:r>
      <w:r>
        <w:rPr>
          <w:rFonts w:ascii="Times New Roman" w:hAnsi="Times New Roman"/>
          <w:sz w:val="28"/>
          <w:szCs w:val="28"/>
        </w:rPr>
        <w:t xml:space="preserve">) отличались взаимным синергизмом (как по результатам морфометрических исследований, так и при сопоставлении численности в разных сочетаниях). </w:t>
      </w:r>
      <w:r>
        <w:rPr>
          <w:rFonts w:ascii="Times New Roman" w:hAnsi="Times New Roman"/>
          <w:sz w:val="28"/>
          <w:szCs w:val="28"/>
          <w:lang w:val="en-US"/>
        </w:rPr>
        <w:t>R</w:t>
      </w:r>
      <w:r>
        <w:rPr>
          <w:rFonts w:ascii="Times New Roman" w:hAnsi="Times New Roman"/>
          <w:sz w:val="28"/>
          <w:szCs w:val="28"/>
        </w:rPr>
        <w:t>.</w:t>
      </w:r>
      <w:r>
        <w:rPr>
          <w:rFonts w:ascii="Times New Roman" w:hAnsi="Times New Roman"/>
          <w:sz w:val="28"/>
          <w:szCs w:val="28"/>
          <w:lang w:val="en-US"/>
        </w:rPr>
        <w:t>bufonis</w:t>
      </w:r>
      <w:r>
        <w:rPr>
          <w:rFonts w:ascii="Times New Roman" w:hAnsi="Times New Roman"/>
          <w:sz w:val="28"/>
          <w:szCs w:val="28"/>
        </w:rPr>
        <w:t xml:space="preserve"> и </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ranae</w:t>
      </w:r>
      <w:r>
        <w:rPr>
          <w:rFonts w:ascii="Times New Roman" w:hAnsi="Times New Roman"/>
          <w:sz w:val="28"/>
          <w:szCs w:val="28"/>
        </w:rPr>
        <w:t xml:space="preserve"> имели индифферентные отношения. Легочная трематода </w:t>
      </w:r>
      <w:r>
        <w:rPr>
          <w:rFonts w:ascii="Times New Roman" w:hAnsi="Times New Roman"/>
          <w:sz w:val="28"/>
          <w:szCs w:val="28"/>
          <w:lang w:val="en-US"/>
        </w:rPr>
        <w:t>Haplometracylindracea</w:t>
      </w:r>
      <w:r>
        <w:rPr>
          <w:rFonts w:ascii="Times New Roman" w:hAnsi="Times New Roman"/>
          <w:sz w:val="28"/>
          <w:szCs w:val="28"/>
        </w:rPr>
        <w:t xml:space="preserve"> тяготела к кишечной трематоде </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ranae</w:t>
      </w:r>
      <w:r>
        <w:rPr>
          <w:rFonts w:ascii="Times New Roman" w:hAnsi="Times New Roman"/>
          <w:sz w:val="28"/>
          <w:szCs w:val="28"/>
        </w:rPr>
        <w:t xml:space="preserve"> (при индифферентности последней) и нематоде </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filiformis</w:t>
      </w:r>
      <w:r>
        <w:rPr>
          <w:rFonts w:ascii="Times New Roman" w:hAnsi="Times New Roman"/>
          <w:sz w:val="28"/>
          <w:szCs w:val="28"/>
        </w:rPr>
        <w:t xml:space="preserve"> (а последняя «избегала» сочетаний с легочной трематодой). И, таким образом, взаимный синергизм двух видов нематод с односторонний – у двух видов трематод с разной локализацией при антагонизме легочной трематоды и кишечной нематоды, то есть «вклинивание» одних видов червей во взаимоотношения других мог оказать влияние на общие результаты взаимодействия, выразившиеся во влиянии на численность. Легочные гельминты, вызывая потерю крови, могли стимулировать питание лягушек (для компенсации потерь), а значит, создавать оптимальные условия для питания кишечных паразитов. Но два вида обитателей каждого органа могли вызывать пространственную и трофическую конкуренцию, а также угрожающий расход общих ресурсов организма хозяина. И поэтому негативные опосредующие влияния гельминтов друг на друга (взаимные или односторонние) ограничивают численность паразитов и способствуют сохранению жизни хозяина (как залог выживания всех).</w:t>
      </w:r>
    </w:p>
    <w:p w:rsidR="0052525C" w:rsidRPr="000D695F" w:rsidRDefault="0052525C" w:rsidP="00EF47E0">
      <w:pPr>
        <w:pStyle w:val="NoSpacing"/>
        <w:tabs>
          <w:tab w:val="left" w:pos="3720"/>
        </w:tabs>
        <w:spacing w:line="360" w:lineRule="auto"/>
        <w:ind w:firstLine="709"/>
        <w:jc w:val="both"/>
        <w:rPr>
          <w:rFonts w:ascii="Times New Roman" w:hAnsi="Times New Roman"/>
          <w:sz w:val="28"/>
          <w:szCs w:val="28"/>
        </w:rPr>
      </w:pPr>
      <w:r>
        <w:rPr>
          <w:rFonts w:ascii="Times New Roman" w:hAnsi="Times New Roman"/>
          <w:sz w:val="28"/>
          <w:szCs w:val="28"/>
        </w:rPr>
        <w:t>4) Более многочисленная по сравнению с трематодой нематода</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filiformis</w:t>
      </w:r>
      <w:r>
        <w:rPr>
          <w:rFonts w:ascii="Times New Roman" w:hAnsi="Times New Roman"/>
          <w:sz w:val="28"/>
          <w:szCs w:val="28"/>
        </w:rPr>
        <w:t xml:space="preserve"> образует различные сочетания с другими видами гельминтов, среди которых могут быть более благоприятные для нее комбинации, чем совместное обитание с гастроинтестинальной трематодой. Среди таких благоприятных сочетаний (причем с обоюдным синергизмом) в 2015 г. нами отмечены комбинации с легочной нематодой </w:t>
      </w:r>
      <w:r>
        <w:rPr>
          <w:rFonts w:ascii="Times New Roman" w:hAnsi="Times New Roman"/>
          <w:sz w:val="28"/>
          <w:szCs w:val="28"/>
          <w:lang w:val="en-US"/>
        </w:rPr>
        <w:t>R</w:t>
      </w:r>
      <w:r>
        <w:rPr>
          <w:rFonts w:ascii="Times New Roman" w:hAnsi="Times New Roman"/>
          <w:sz w:val="28"/>
          <w:szCs w:val="28"/>
        </w:rPr>
        <w:t>.</w:t>
      </w:r>
      <w:r>
        <w:rPr>
          <w:rFonts w:ascii="Times New Roman" w:hAnsi="Times New Roman"/>
          <w:sz w:val="28"/>
          <w:szCs w:val="28"/>
          <w:lang w:val="en-US"/>
        </w:rPr>
        <w:t>bufonis</w:t>
      </w:r>
      <w:r>
        <w:rPr>
          <w:rFonts w:ascii="Times New Roman" w:hAnsi="Times New Roman"/>
          <w:sz w:val="28"/>
          <w:szCs w:val="28"/>
        </w:rPr>
        <w:t>, особенно в бинарном сочетании, и этот синергизм мы объяснили стимулированием питания лягушек при кровопотере от питания рабдиасов.</w:t>
      </w:r>
    </w:p>
    <w:p w:rsidR="0052525C" w:rsidRDefault="0052525C" w:rsidP="0004530E">
      <w:pPr>
        <w:pStyle w:val="NoSpacing"/>
        <w:tabs>
          <w:tab w:val="left" w:pos="3720"/>
        </w:tabs>
        <w:spacing w:line="360" w:lineRule="auto"/>
        <w:ind w:firstLine="709"/>
        <w:jc w:val="both"/>
        <w:rPr>
          <w:rFonts w:ascii="Times New Roman" w:hAnsi="Times New Roman"/>
          <w:sz w:val="28"/>
          <w:szCs w:val="28"/>
        </w:rPr>
      </w:pPr>
      <w:r>
        <w:rPr>
          <w:rFonts w:ascii="Times New Roman" w:hAnsi="Times New Roman"/>
          <w:sz w:val="28"/>
          <w:szCs w:val="28"/>
        </w:rPr>
        <w:t xml:space="preserve">5) Основная масса освальдокруций паразитирует у крупных лягушек старших возрастов, у которых объем кишечника и количество потребляемой пищи позволяют паразитировать большому количеству нематод. Молодые лягушки, и особенно недавно превратившиеся сеголетки, в большей мере связаны с водой, а значит, имеют более высокую вероятность инвазии трематодами, чем нематодами. </w:t>
      </w:r>
    </w:p>
    <w:p w:rsidR="0052525C" w:rsidRPr="00384B43" w:rsidRDefault="0052525C" w:rsidP="0004530E">
      <w:pPr>
        <w:pStyle w:val="NoSpacing"/>
        <w:spacing w:line="360" w:lineRule="auto"/>
        <w:ind w:firstLine="708"/>
        <w:jc w:val="both"/>
        <w:rPr>
          <w:rFonts w:ascii="Times New Roman" w:hAnsi="Times New Roman"/>
          <w:sz w:val="28"/>
          <w:szCs w:val="28"/>
        </w:rPr>
      </w:pPr>
      <w:r>
        <w:rPr>
          <w:rFonts w:ascii="Times New Roman" w:hAnsi="Times New Roman"/>
          <w:sz w:val="28"/>
          <w:szCs w:val="28"/>
        </w:rPr>
        <w:t xml:space="preserve">Для подтверждения некоторых гипотез мы можем привести данные морфометрического анализа </w:t>
      </w:r>
      <w:r>
        <w:rPr>
          <w:rFonts w:ascii="Times New Roman" w:hAnsi="Times New Roman"/>
          <w:sz w:val="28"/>
          <w:szCs w:val="28"/>
          <w:lang w:val="en-US"/>
        </w:rPr>
        <w:t>O</w:t>
      </w:r>
      <w:r>
        <w:rPr>
          <w:rFonts w:ascii="Times New Roman" w:hAnsi="Times New Roman"/>
          <w:sz w:val="28"/>
          <w:szCs w:val="28"/>
        </w:rPr>
        <w:t>.</w:t>
      </w:r>
      <w:r w:rsidRPr="00DA50B2">
        <w:rPr>
          <w:rFonts w:ascii="Times New Roman" w:hAnsi="Times New Roman"/>
          <w:sz w:val="28"/>
          <w:szCs w:val="28"/>
          <w:lang w:val="en-US"/>
        </w:rPr>
        <w:t>filiformis</w:t>
      </w:r>
      <w:r>
        <w:rPr>
          <w:rFonts w:ascii="Times New Roman" w:hAnsi="Times New Roman"/>
          <w:sz w:val="28"/>
          <w:szCs w:val="28"/>
        </w:rPr>
        <w:t xml:space="preserve"> в 2015 году. Сопоставление абсолютных размеров самок нематоды в различных сочетаниях показало, что минимальной длины и ширины они достигают в присутствии одновременно двух легочных паразитов – </w:t>
      </w:r>
      <w:r>
        <w:rPr>
          <w:rFonts w:ascii="Times New Roman" w:hAnsi="Times New Roman"/>
          <w:sz w:val="28"/>
          <w:szCs w:val="28"/>
          <w:lang w:val="en-US"/>
        </w:rPr>
        <w:t>R</w:t>
      </w:r>
      <w:r>
        <w:rPr>
          <w:rFonts w:ascii="Times New Roman" w:hAnsi="Times New Roman"/>
          <w:sz w:val="28"/>
          <w:szCs w:val="28"/>
        </w:rPr>
        <w:t>.</w:t>
      </w:r>
      <w:r>
        <w:rPr>
          <w:rFonts w:ascii="Times New Roman" w:hAnsi="Times New Roman"/>
          <w:sz w:val="28"/>
          <w:szCs w:val="28"/>
          <w:lang w:val="en-US"/>
        </w:rPr>
        <w:t>bufonis</w:t>
      </w:r>
      <w:r>
        <w:rPr>
          <w:rFonts w:ascii="Times New Roman" w:hAnsi="Times New Roman"/>
          <w:sz w:val="28"/>
          <w:szCs w:val="28"/>
          <w:lang w:val="uk-UA"/>
        </w:rPr>
        <w:t xml:space="preserve"> </w:t>
      </w:r>
      <w:r>
        <w:rPr>
          <w:rFonts w:ascii="Times New Roman" w:hAnsi="Times New Roman"/>
          <w:sz w:val="28"/>
          <w:szCs w:val="28"/>
        </w:rPr>
        <w:t>и</w:t>
      </w:r>
      <w:r>
        <w:rPr>
          <w:rFonts w:ascii="Times New Roman" w:hAnsi="Times New Roman"/>
          <w:sz w:val="28"/>
          <w:szCs w:val="28"/>
          <w:lang w:val="uk-UA"/>
        </w:rPr>
        <w:t xml:space="preserve"> </w:t>
      </w:r>
      <w:r>
        <w:rPr>
          <w:rFonts w:ascii="Times New Roman" w:hAnsi="Times New Roman"/>
          <w:sz w:val="28"/>
          <w:szCs w:val="28"/>
          <w:lang w:val="en-US"/>
        </w:rPr>
        <w:t>H</w:t>
      </w:r>
      <w:r>
        <w:rPr>
          <w:rFonts w:ascii="Times New Roman" w:hAnsi="Times New Roman"/>
          <w:sz w:val="28"/>
          <w:szCs w:val="28"/>
        </w:rPr>
        <w:t>.</w:t>
      </w:r>
      <w:r>
        <w:rPr>
          <w:rFonts w:ascii="Times New Roman" w:hAnsi="Times New Roman"/>
          <w:sz w:val="28"/>
          <w:szCs w:val="28"/>
          <w:lang w:val="en-US"/>
        </w:rPr>
        <w:t>cylindracea</w:t>
      </w:r>
      <w:r>
        <w:rPr>
          <w:rFonts w:ascii="Times New Roman" w:hAnsi="Times New Roman"/>
          <w:sz w:val="28"/>
          <w:szCs w:val="28"/>
        </w:rPr>
        <w:t xml:space="preserve">, а также обоих легочных паразитов и </w:t>
      </w:r>
      <w:r>
        <w:rPr>
          <w:rFonts w:ascii="Times New Roman" w:hAnsi="Times New Roman"/>
          <w:sz w:val="28"/>
          <w:szCs w:val="28"/>
          <w:lang w:val="en-US"/>
        </w:rPr>
        <w:t>O</w:t>
      </w:r>
      <w:r>
        <w:rPr>
          <w:rFonts w:ascii="Times New Roman" w:hAnsi="Times New Roman"/>
          <w:sz w:val="28"/>
          <w:szCs w:val="28"/>
        </w:rPr>
        <w:t>.</w:t>
      </w:r>
      <w:r>
        <w:rPr>
          <w:rFonts w:ascii="Times New Roman" w:hAnsi="Times New Roman"/>
          <w:sz w:val="28"/>
          <w:szCs w:val="28"/>
          <w:lang w:val="en-US"/>
        </w:rPr>
        <w:t>ranae</w:t>
      </w:r>
      <w:r>
        <w:rPr>
          <w:rFonts w:ascii="Times New Roman" w:hAnsi="Times New Roman"/>
          <w:sz w:val="28"/>
          <w:szCs w:val="28"/>
        </w:rPr>
        <w:t xml:space="preserve">. Несколько крупнее оказались нематоды в сочетании с двумя трематодами (легочной и желудочно-кишечной) и в бинарном сочетании с </w:t>
      </w:r>
      <w:r>
        <w:rPr>
          <w:rFonts w:ascii="Times New Roman" w:hAnsi="Times New Roman"/>
          <w:sz w:val="28"/>
          <w:szCs w:val="28"/>
          <w:lang w:val="en-US"/>
        </w:rPr>
        <w:t>H</w:t>
      </w:r>
      <w:r>
        <w:rPr>
          <w:rFonts w:ascii="Times New Roman" w:hAnsi="Times New Roman"/>
          <w:sz w:val="28"/>
          <w:szCs w:val="28"/>
        </w:rPr>
        <w:t>.</w:t>
      </w:r>
      <w:r>
        <w:rPr>
          <w:rFonts w:ascii="Times New Roman" w:hAnsi="Times New Roman"/>
          <w:sz w:val="28"/>
          <w:szCs w:val="28"/>
          <w:lang w:val="en-US"/>
        </w:rPr>
        <w:t>cylindracea</w:t>
      </w:r>
      <w:r>
        <w:rPr>
          <w:rFonts w:ascii="Times New Roman" w:hAnsi="Times New Roman"/>
          <w:sz w:val="28"/>
          <w:szCs w:val="28"/>
        </w:rPr>
        <w:t xml:space="preserve">, а также в моноинвазии. Максимальные размеры тела самок </w:t>
      </w:r>
      <w:r>
        <w:rPr>
          <w:rFonts w:ascii="Times New Roman" w:hAnsi="Times New Roman"/>
          <w:sz w:val="28"/>
          <w:szCs w:val="28"/>
          <w:lang w:val="en-US"/>
        </w:rPr>
        <w:t>O</w:t>
      </w:r>
      <w:r>
        <w:rPr>
          <w:rFonts w:ascii="Times New Roman" w:hAnsi="Times New Roman"/>
          <w:sz w:val="28"/>
          <w:szCs w:val="28"/>
        </w:rPr>
        <w:t>.</w:t>
      </w:r>
      <w:r w:rsidRPr="00DA50B2">
        <w:rPr>
          <w:rFonts w:ascii="Times New Roman" w:hAnsi="Times New Roman"/>
          <w:sz w:val="28"/>
          <w:szCs w:val="28"/>
          <w:lang w:val="en-US"/>
        </w:rPr>
        <w:t>filiformis</w:t>
      </w:r>
      <w:r>
        <w:rPr>
          <w:rFonts w:ascii="Times New Roman" w:hAnsi="Times New Roman"/>
          <w:sz w:val="28"/>
          <w:szCs w:val="28"/>
        </w:rPr>
        <w:t xml:space="preserve"> отмечены в бинарных сочетаниях с </w:t>
      </w:r>
      <w:r>
        <w:rPr>
          <w:rFonts w:ascii="Times New Roman" w:hAnsi="Times New Roman"/>
          <w:sz w:val="28"/>
          <w:szCs w:val="28"/>
          <w:lang w:val="en-US"/>
        </w:rPr>
        <w:t>R</w:t>
      </w:r>
      <w:r>
        <w:rPr>
          <w:rFonts w:ascii="Times New Roman" w:hAnsi="Times New Roman"/>
          <w:sz w:val="28"/>
          <w:szCs w:val="28"/>
        </w:rPr>
        <w:t>.</w:t>
      </w:r>
      <w:r>
        <w:rPr>
          <w:rFonts w:ascii="Times New Roman" w:hAnsi="Times New Roman"/>
          <w:sz w:val="28"/>
          <w:szCs w:val="28"/>
          <w:lang w:val="en-US"/>
        </w:rPr>
        <w:t>bufonis</w:t>
      </w:r>
      <w:r>
        <w:rPr>
          <w:rFonts w:ascii="Times New Roman" w:hAnsi="Times New Roman"/>
          <w:sz w:val="28"/>
          <w:szCs w:val="28"/>
        </w:rPr>
        <w:t xml:space="preserve"> и </w:t>
      </w:r>
      <w:r>
        <w:rPr>
          <w:rFonts w:ascii="Times New Roman" w:hAnsi="Times New Roman"/>
          <w:sz w:val="28"/>
          <w:szCs w:val="28"/>
          <w:lang w:val="en-US"/>
        </w:rPr>
        <w:t>O</w:t>
      </w:r>
      <w:r w:rsidRPr="00036225">
        <w:rPr>
          <w:rFonts w:ascii="Times New Roman" w:hAnsi="Times New Roman"/>
          <w:sz w:val="28"/>
          <w:szCs w:val="28"/>
        </w:rPr>
        <w:t>.</w:t>
      </w:r>
      <w:r>
        <w:rPr>
          <w:rFonts w:ascii="Times New Roman" w:hAnsi="Times New Roman"/>
          <w:sz w:val="28"/>
          <w:szCs w:val="28"/>
          <w:lang w:val="en-US"/>
        </w:rPr>
        <w:t>ranae</w:t>
      </w:r>
      <w:r>
        <w:rPr>
          <w:rFonts w:ascii="Times New Roman" w:hAnsi="Times New Roman"/>
          <w:sz w:val="28"/>
          <w:szCs w:val="28"/>
        </w:rPr>
        <w:t xml:space="preserve"> (правда, последняя выборка немногочисленна). </w:t>
      </w:r>
      <w:r w:rsidRPr="00DE67E5">
        <w:rPr>
          <w:rFonts w:ascii="Times New Roman" w:hAnsi="Times New Roman"/>
          <w:sz w:val="28"/>
          <w:szCs w:val="28"/>
        </w:rPr>
        <w:t xml:space="preserve">У самцов </w:t>
      </w:r>
      <w:r>
        <w:rPr>
          <w:rFonts w:ascii="Times New Roman" w:hAnsi="Times New Roman"/>
          <w:sz w:val="28"/>
          <w:szCs w:val="28"/>
          <w:lang w:val="en-US"/>
        </w:rPr>
        <w:t>O</w:t>
      </w:r>
      <w:r>
        <w:rPr>
          <w:rFonts w:ascii="Times New Roman" w:hAnsi="Times New Roman"/>
          <w:sz w:val="28"/>
          <w:szCs w:val="28"/>
        </w:rPr>
        <w:t>.</w:t>
      </w:r>
      <w:r w:rsidRPr="007974B7">
        <w:rPr>
          <w:rFonts w:ascii="Times New Roman" w:hAnsi="Times New Roman"/>
          <w:sz w:val="28"/>
          <w:szCs w:val="28"/>
          <w:lang w:val="en-US"/>
        </w:rPr>
        <w:t>filiformis</w:t>
      </w:r>
      <w:r>
        <w:rPr>
          <w:rFonts w:ascii="Times New Roman" w:hAnsi="Times New Roman"/>
          <w:sz w:val="28"/>
          <w:szCs w:val="28"/>
        </w:rPr>
        <w:t xml:space="preserve"> максимальные размеры также отмечены в бинарном сочетании с </w:t>
      </w:r>
      <w:r>
        <w:rPr>
          <w:rFonts w:ascii="Times New Roman" w:hAnsi="Times New Roman"/>
          <w:sz w:val="28"/>
          <w:szCs w:val="28"/>
          <w:lang w:val="en-US"/>
        </w:rPr>
        <w:t>R</w:t>
      </w:r>
      <w:r>
        <w:rPr>
          <w:rFonts w:ascii="Times New Roman" w:hAnsi="Times New Roman"/>
          <w:sz w:val="28"/>
          <w:szCs w:val="28"/>
        </w:rPr>
        <w:t>.</w:t>
      </w:r>
      <w:r>
        <w:rPr>
          <w:rFonts w:ascii="Times New Roman" w:hAnsi="Times New Roman"/>
          <w:sz w:val="28"/>
          <w:szCs w:val="28"/>
          <w:lang w:val="en-US"/>
        </w:rPr>
        <w:t>bufonis</w:t>
      </w:r>
      <w:r>
        <w:rPr>
          <w:rFonts w:ascii="Times New Roman" w:hAnsi="Times New Roman"/>
          <w:sz w:val="28"/>
          <w:szCs w:val="28"/>
        </w:rPr>
        <w:t xml:space="preserve">, несколько меньшие – в моноинвазии и сочетании с </w:t>
      </w:r>
      <w:r>
        <w:rPr>
          <w:rFonts w:ascii="Times New Roman" w:hAnsi="Times New Roman"/>
          <w:sz w:val="28"/>
          <w:szCs w:val="28"/>
          <w:lang w:val="en-US"/>
        </w:rPr>
        <w:t>H</w:t>
      </w:r>
      <w:r>
        <w:rPr>
          <w:rFonts w:ascii="Times New Roman" w:hAnsi="Times New Roman"/>
          <w:sz w:val="28"/>
          <w:szCs w:val="28"/>
        </w:rPr>
        <w:t>.</w:t>
      </w:r>
      <w:r>
        <w:rPr>
          <w:rFonts w:ascii="Times New Roman" w:hAnsi="Times New Roman"/>
          <w:sz w:val="28"/>
          <w:szCs w:val="28"/>
          <w:lang w:val="en-US"/>
        </w:rPr>
        <w:t>cylindracea</w:t>
      </w:r>
      <w:r>
        <w:rPr>
          <w:rFonts w:ascii="Times New Roman" w:hAnsi="Times New Roman"/>
          <w:sz w:val="28"/>
          <w:szCs w:val="28"/>
        </w:rPr>
        <w:t xml:space="preserve">, еще меньшие – в сочетаниях с двумя легочными гельминтами, </w:t>
      </w:r>
      <w:r>
        <w:rPr>
          <w:rFonts w:ascii="Times New Roman" w:hAnsi="Times New Roman"/>
          <w:sz w:val="28"/>
          <w:szCs w:val="28"/>
          <w:lang w:val="en-US"/>
        </w:rPr>
        <w:t>O</w:t>
      </w:r>
      <w:r w:rsidRPr="00036225">
        <w:rPr>
          <w:rFonts w:ascii="Times New Roman" w:hAnsi="Times New Roman"/>
          <w:sz w:val="28"/>
          <w:szCs w:val="28"/>
        </w:rPr>
        <w:t>.</w:t>
      </w:r>
      <w:r>
        <w:rPr>
          <w:rFonts w:ascii="Times New Roman" w:hAnsi="Times New Roman"/>
          <w:sz w:val="28"/>
          <w:szCs w:val="28"/>
          <w:lang w:val="en-US"/>
        </w:rPr>
        <w:t>ranae</w:t>
      </w:r>
      <w:r>
        <w:rPr>
          <w:rFonts w:ascii="Times New Roman" w:hAnsi="Times New Roman"/>
          <w:sz w:val="28"/>
          <w:szCs w:val="28"/>
        </w:rPr>
        <w:t xml:space="preserve">, двумя трематодами и всеми тремя остальными гельминтами одновременно. Минимальной длины (без снижения ширины) </w:t>
      </w:r>
      <w:r>
        <w:rPr>
          <w:rFonts w:ascii="Times New Roman" w:hAnsi="Times New Roman"/>
          <w:sz w:val="28"/>
          <w:szCs w:val="28"/>
          <w:lang w:val="en-US"/>
        </w:rPr>
        <w:t>O</w:t>
      </w:r>
      <w:r>
        <w:rPr>
          <w:rFonts w:ascii="Times New Roman" w:hAnsi="Times New Roman"/>
          <w:sz w:val="28"/>
          <w:szCs w:val="28"/>
        </w:rPr>
        <w:t>.</w:t>
      </w:r>
      <w:r w:rsidRPr="007974B7">
        <w:rPr>
          <w:rFonts w:ascii="Times New Roman" w:hAnsi="Times New Roman"/>
          <w:sz w:val="28"/>
          <w:szCs w:val="28"/>
          <w:lang w:val="en-US"/>
        </w:rPr>
        <w:t>filiformis</w:t>
      </w:r>
      <w:r>
        <w:rPr>
          <w:rFonts w:ascii="Times New Roman" w:hAnsi="Times New Roman"/>
          <w:sz w:val="28"/>
          <w:szCs w:val="28"/>
        </w:rPr>
        <w:t xml:space="preserve"> достигали в бинарном сочетании с кишечной трематодой </w:t>
      </w:r>
      <w:r>
        <w:rPr>
          <w:rFonts w:ascii="Times New Roman" w:hAnsi="Times New Roman"/>
          <w:sz w:val="28"/>
          <w:szCs w:val="28"/>
          <w:lang w:val="en-US"/>
        </w:rPr>
        <w:t>O</w:t>
      </w:r>
      <w:r w:rsidRPr="00036225">
        <w:rPr>
          <w:rFonts w:ascii="Times New Roman" w:hAnsi="Times New Roman"/>
          <w:sz w:val="28"/>
          <w:szCs w:val="28"/>
        </w:rPr>
        <w:t>.</w:t>
      </w:r>
      <w:r>
        <w:rPr>
          <w:rFonts w:ascii="Times New Roman" w:hAnsi="Times New Roman"/>
          <w:sz w:val="28"/>
          <w:szCs w:val="28"/>
          <w:lang w:val="en-US"/>
        </w:rPr>
        <w:t>ranae</w:t>
      </w:r>
      <w:r>
        <w:rPr>
          <w:rFonts w:ascii="Times New Roman" w:hAnsi="Times New Roman"/>
          <w:sz w:val="28"/>
          <w:szCs w:val="28"/>
        </w:rPr>
        <w:t xml:space="preserve">. И, таким образом, кишечная трематода </w:t>
      </w:r>
      <w:r>
        <w:rPr>
          <w:rFonts w:ascii="Times New Roman" w:hAnsi="Times New Roman"/>
          <w:sz w:val="28"/>
          <w:szCs w:val="28"/>
          <w:lang w:val="en-US"/>
        </w:rPr>
        <w:t>O</w:t>
      </w:r>
      <w:r w:rsidRPr="00036225">
        <w:rPr>
          <w:rFonts w:ascii="Times New Roman" w:hAnsi="Times New Roman"/>
          <w:sz w:val="28"/>
          <w:szCs w:val="28"/>
        </w:rPr>
        <w:t>.</w:t>
      </w:r>
      <w:r>
        <w:rPr>
          <w:rFonts w:ascii="Times New Roman" w:hAnsi="Times New Roman"/>
          <w:sz w:val="28"/>
          <w:szCs w:val="28"/>
          <w:lang w:val="en-US"/>
        </w:rPr>
        <w:t>ranae</w:t>
      </w:r>
      <w:r>
        <w:rPr>
          <w:rFonts w:ascii="Times New Roman" w:hAnsi="Times New Roman"/>
          <w:sz w:val="28"/>
          <w:szCs w:val="28"/>
        </w:rPr>
        <w:t xml:space="preserve"> (непосредственный трофический и пространственный конкурент освальдокруций) не всегда и не во всех сочетаниях снижает размеры </w:t>
      </w:r>
      <w:r>
        <w:rPr>
          <w:rFonts w:ascii="Times New Roman" w:hAnsi="Times New Roman"/>
          <w:sz w:val="28"/>
          <w:szCs w:val="28"/>
          <w:lang w:val="en-US"/>
        </w:rPr>
        <w:t>O</w:t>
      </w:r>
      <w:r>
        <w:rPr>
          <w:rFonts w:ascii="Times New Roman" w:hAnsi="Times New Roman"/>
          <w:sz w:val="28"/>
          <w:szCs w:val="28"/>
        </w:rPr>
        <w:t>.</w:t>
      </w:r>
      <w:r w:rsidRPr="007974B7">
        <w:rPr>
          <w:rFonts w:ascii="Times New Roman" w:hAnsi="Times New Roman"/>
          <w:sz w:val="28"/>
          <w:szCs w:val="28"/>
          <w:lang w:val="en-US"/>
        </w:rPr>
        <w:t>filiformis</w:t>
      </w:r>
      <w:r>
        <w:rPr>
          <w:rFonts w:ascii="Times New Roman" w:hAnsi="Times New Roman"/>
          <w:sz w:val="28"/>
          <w:szCs w:val="28"/>
        </w:rPr>
        <w:t>. Она была в 2015 г. не слишком многочисленной, но часто заражала молодых лягушек раньше нематод. Возможно, порядок инвазии, а также опосредующее влияние других паразитов делали отношения двух гастроинтестинальных гельминтов неоднозначными по результатам.</w:t>
      </w:r>
    </w:p>
    <w:p w:rsidR="0052525C" w:rsidRDefault="0052525C" w:rsidP="0004530E">
      <w:pPr>
        <w:pStyle w:val="NoSpacing"/>
        <w:tabs>
          <w:tab w:val="left" w:pos="7725"/>
        </w:tabs>
        <w:spacing w:line="360" w:lineRule="auto"/>
        <w:ind w:firstLine="709"/>
        <w:jc w:val="both"/>
        <w:rPr>
          <w:rFonts w:ascii="Times New Roman" w:hAnsi="Times New Roman"/>
          <w:sz w:val="28"/>
          <w:szCs w:val="28"/>
        </w:rPr>
      </w:pPr>
      <w:r>
        <w:rPr>
          <w:rFonts w:ascii="Times New Roman" w:hAnsi="Times New Roman"/>
          <w:sz w:val="28"/>
          <w:szCs w:val="28"/>
        </w:rPr>
        <w:tab/>
      </w:r>
    </w:p>
    <w:p w:rsidR="0052525C" w:rsidRPr="00667DFE" w:rsidRDefault="0052525C" w:rsidP="00667DFE">
      <w:pPr>
        <w:pStyle w:val="NoSpacing"/>
        <w:spacing w:line="360" w:lineRule="auto"/>
        <w:rPr>
          <w:rFonts w:ascii="Times New Roman" w:hAnsi="Times New Roman"/>
          <w:b/>
          <w:sz w:val="28"/>
          <w:szCs w:val="28"/>
        </w:rPr>
      </w:pPr>
      <w:r w:rsidRPr="00667DFE">
        <w:rPr>
          <w:rFonts w:ascii="Times New Roman" w:hAnsi="Times New Roman"/>
          <w:b/>
          <w:sz w:val="28"/>
          <w:szCs w:val="28"/>
        </w:rPr>
        <w:t>Список использованных источников:</w:t>
      </w:r>
    </w:p>
    <w:p w:rsidR="0052525C" w:rsidRPr="00BE0F81" w:rsidRDefault="0052525C" w:rsidP="00EF47E0">
      <w:pPr>
        <w:pStyle w:val="NoSpacing"/>
        <w:spacing w:line="360" w:lineRule="auto"/>
        <w:ind w:firstLine="709"/>
        <w:jc w:val="both"/>
        <w:rPr>
          <w:rFonts w:ascii="Times New Roman" w:hAnsi="Times New Roman"/>
          <w:sz w:val="28"/>
          <w:szCs w:val="28"/>
        </w:rPr>
      </w:pPr>
      <w:r>
        <w:rPr>
          <w:rFonts w:ascii="Times New Roman" w:hAnsi="Times New Roman"/>
          <w:sz w:val="28"/>
          <w:szCs w:val="28"/>
        </w:rPr>
        <w:t>1.</w:t>
      </w:r>
      <w:r w:rsidRPr="009B4FD9">
        <w:rPr>
          <w:rFonts w:ascii="Times New Roman" w:hAnsi="Times New Roman"/>
          <w:sz w:val="28"/>
          <w:szCs w:val="28"/>
        </w:rPr>
        <w:t>Котельников Г.А. Гельминтологические исследования животных и окружающей среды. – М.: Колос, 1983. – 208 с.</w:t>
      </w:r>
    </w:p>
    <w:p w:rsidR="0052525C" w:rsidRDefault="0052525C" w:rsidP="00EF47E0">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2. </w:t>
      </w:r>
      <w:r w:rsidRPr="00806F02">
        <w:rPr>
          <w:rFonts w:ascii="Times New Roman" w:hAnsi="Times New Roman"/>
          <w:sz w:val="28"/>
          <w:szCs w:val="28"/>
        </w:rPr>
        <w:t>Марков Г.С. О межвидовых отношениях в паразитоценозе травяной лягушки //Доклады АН СССР, нов.серия,  1955.  Т. 100, вып. 6. - С. 1203-1205.</w:t>
      </w:r>
    </w:p>
    <w:p w:rsidR="0052525C" w:rsidRPr="00806F02" w:rsidRDefault="0052525C" w:rsidP="00EF47E0">
      <w:pPr>
        <w:pStyle w:val="NoSpacing"/>
        <w:spacing w:line="360" w:lineRule="auto"/>
        <w:ind w:firstLine="709"/>
        <w:jc w:val="both"/>
        <w:rPr>
          <w:rFonts w:ascii="Times New Roman" w:hAnsi="Times New Roman"/>
          <w:sz w:val="28"/>
          <w:szCs w:val="28"/>
          <w:lang w:eastAsia="ko-KR"/>
        </w:rPr>
      </w:pPr>
      <w:r>
        <w:rPr>
          <w:rFonts w:ascii="Times New Roman" w:hAnsi="Times New Roman"/>
          <w:sz w:val="28"/>
          <w:szCs w:val="28"/>
        </w:rPr>
        <w:t xml:space="preserve">3. </w:t>
      </w:r>
      <w:r w:rsidRPr="00806F02">
        <w:rPr>
          <w:rFonts w:ascii="Times New Roman" w:hAnsi="Times New Roman"/>
          <w:sz w:val="28"/>
          <w:szCs w:val="28"/>
        </w:rPr>
        <w:t>Марков Г.С., Чернобай В.Ф. О раздельной встречаемости некоторых видов трематод и цестод у воробьиных птиц //Экологическая и экспериментальная паразитология. Вып. 1. - Л.: Наука, 1975. - С.11-14.</w:t>
      </w:r>
    </w:p>
    <w:p w:rsidR="0052525C" w:rsidRDefault="0052525C" w:rsidP="00EF47E0">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4. </w:t>
      </w:r>
      <w:r w:rsidRPr="00806F02">
        <w:rPr>
          <w:rFonts w:ascii="Times New Roman" w:hAnsi="Times New Roman"/>
          <w:sz w:val="28"/>
          <w:szCs w:val="28"/>
        </w:rPr>
        <w:t>Ваккер В.Г. К установлению межвидовых связей гельминтов //Фауна и экология беспозвоночных. Межвузовский сборник научных трудов. - Горький, 1989. - С. 8-14.</w:t>
      </w:r>
    </w:p>
    <w:p w:rsidR="0052525C" w:rsidRPr="00806F02" w:rsidRDefault="0052525C" w:rsidP="00EF47E0">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5. </w:t>
      </w:r>
      <w:r w:rsidRPr="00806F02">
        <w:rPr>
          <w:rFonts w:ascii="Times New Roman" w:hAnsi="Times New Roman"/>
          <w:sz w:val="28"/>
          <w:szCs w:val="28"/>
        </w:rPr>
        <w:t>Лакин Г.Ф. Биометрия [Учеб.пособие для биол. спец. вузов]. - М.: Высшая школа, 1980. – 293 с.</w:t>
      </w:r>
    </w:p>
    <w:p w:rsidR="0052525C" w:rsidRPr="00806F02" w:rsidRDefault="0052525C" w:rsidP="00EF47E0">
      <w:pPr>
        <w:pStyle w:val="NoSpacing"/>
        <w:spacing w:line="360" w:lineRule="auto"/>
        <w:ind w:firstLine="709"/>
        <w:jc w:val="both"/>
        <w:rPr>
          <w:rFonts w:ascii="Times New Roman" w:hAnsi="Times New Roman"/>
          <w:sz w:val="28"/>
          <w:szCs w:val="28"/>
          <w:lang w:eastAsia="ko-KR"/>
        </w:rPr>
      </w:pPr>
      <w:r>
        <w:rPr>
          <w:rFonts w:ascii="Times New Roman" w:hAnsi="Times New Roman"/>
          <w:sz w:val="28"/>
          <w:szCs w:val="28"/>
        </w:rPr>
        <w:t xml:space="preserve">6. </w:t>
      </w:r>
      <w:r w:rsidRPr="00806F02">
        <w:rPr>
          <w:rFonts w:ascii="Times New Roman" w:hAnsi="Times New Roman"/>
          <w:sz w:val="28"/>
          <w:szCs w:val="28"/>
        </w:rPr>
        <w:t>Песенко Ю.А. Принципы и методы количественного анализа в фаунистических исследованиях. - М.: Наука, 1982. – 287 с.</w:t>
      </w:r>
    </w:p>
    <w:p w:rsidR="0052525C" w:rsidRDefault="0052525C" w:rsidP="00EF47E0">
      <w:pPr>
        <w:pStyle w:val="NoSpacing"/>
        <w:tabs>
          <w:tab w:val="left" w:pos="3195"/>
        </w:tabs>
        <w:spacing w:line="360" w:lineRule="auto"/>
        <w:ind w:firstLine="709"/>
        <w:jc w:val="both"/>
        <w:rPr>
          <w:rFonts w:ascii="Times New Roman" w:hAnsi="Times New Roman"/>
          <w:sz w:val="28"/>
          <w:szCs w:val="28"/>
        </w:rPr>
      </w:pPr>
      <w:r>
        <w:rPr>
          <w:rFonts w:ascii="Times New Roman" w:hAnsi="Times New Roman"/>
          <w:sz w:val="28"/>
          <w:szCs w:val="28"/>
        </w:rPr>
        <w:t xml:space="preserve">7. </w:t>
      </w:r>
      <w:r w:rsidRPr="00344519">
        <w:rPr>
          <w:rFonts w:ascii="Times New Roman" w:hAnsi="Times New Roman"/>
          <w:sz w:val="28"/>
          <w:szCs w:val="28"/>
        </w:rPr>
        <w:t>Рыжиков К.М., Шарпило В.П., Шевченко Н.Н. Гельминты амфибий фауны СССР. – М.: Наука, 1980. – 279 с.</w:t>
      </w:r>
    </w:p>
    <w:p w:rsidR="0052525C" w:rsidRPr="00E46958" w:rsidRDefault="0052525C" w:rsidP="00EF47E0">
      <w:pPr>
        <w:pStyle w:val="NoSpacing"/>
        <w:spacing w:line="360" w:lineRule="auto"/>
        <w:ind w:firstLine="709"/>
        <w:jc w:val="both"/>
        <w:rPr>
          <w:rFonts w:ascii="Times New Roman" w:hAnsi="Times New Roman"/>
          <w:sz w:val="28"/>
          <w:szCs w:val="28"/>
        </w:rPr>
      </w:pPr>
      <w:r>
        <w:rPr>
          <w:rFonts w:ascii="Times New Roman" w:hAnsi="Times New Roman"/>
          <w:sz w:val="28"/>
          <w:szCs w:val="28"/>
        </w:rPr>
        <w:t>8</w:t>
      </w:r>
      <w:r w:rsidRPr="00E46958">
        <w:rPr>
          <w:rFonts w:ascii="Times New Roman" w:hAnsi="Times New Roman"/>
          <w:sz w:val="28"/>
          <w:szCs w:val="28"/>
        </w:rPr>
        <w:t>.</w:t>
      </w:r>
      <w:r w:rsidRPr="00E46958">
        <w:rPr>
          <w:rFonts w:ascii="Times New Roman" w:hAnsi="Times New Roman"/>
          <w:sz w:val="28"/>
          <w:szCs w:val="28"/>
        </w:rPr>
        <w:tab/>
        <w:t>Добровольский А.А. Некоторые новые данные о жизненном цикле сосальщика OpisthioglypheranaeFrölich, 1791 (Plagiorchidae). – Helminthologia, 1965, VI, 3. – С. 205-221.</w:t>
      </w:r>
    </w:p>
    <w:p w:rsidR="0052525C" w:rsidRPr="003F4F44" w:rsidRDefault="0052525C" w:rsidP="00EF47E0">
      <w:pPr>
        <w:pStyle w:val="NoSpacing"/>
        <w:spacing w:line="360" w:lineRule="auto"/>
        <w:ind w:firstLine="709"/>
        <w:jc w:val="both"/>
        <w:rPr>
          <w:rFonts w:ascii="Times New Roman" w:hAnsi="Times New Roman"/>
          <w:sz w:val="28"/>
          <w:szCs w:val="28"/>
        </w:rPr>
      </w:pPr>
      <w:r w:rsidRPr="00E46958">
        <w:rPr>
          <w:rFonts w:ascii="Times New Roman" w:hAnsi="Times New Roman"/>
          <w:sz w:val="28"/>
          <w:szCs w:val="28"/>
          <w:lang w:val="en-US"/>
        </w:rPr>
        <w:t>9.</w:t>
      </w:r>
      <w:r w:rsidRPr="00E46958">
        <w:rPr>
          <w:rFonts w:ascii="Times New Roman" w:hAnsi="Times New Roman"/>
          <w:sz w:val="28"/>
          <w:szCs w:val="28"/>
          <w:lang w:val="en-US"/>
        </w:rPr>
        <w:tab/>
        <w:t>Grabda-Kazubska B. Studies of abbreviation of the life-cycle in Opisthioglypheranae (Frölich, 1791) and O.rastellus (Olsson, 1876) (Trematoda: Plagiorchidae). – ActaParasitol. Pol</w:t>
      </w:r>
      <w:r w:rsidRPr="003F4F44">
        <w:rPr>
          <w:rFonts w:ascii="Times New Roman" w:hAnsi="Times New Roman"/>
          <w:sz w:val="28"/>
          <w:szCs w:val="28"/>
        </w:rPr>
        <w:t xml:space="preserve">., 1968-1969, 16. – </w:t>
      </w:r>
      <w:r w:rsidRPr="00E46958">
        <w:rPr>
          <w:rFonts w:ascii="Times New Roman" w:hAnsi="Times New Roman"/>
          <w:sz w:val="28"/>
          <w:szCs w:val="28"/>
          <w:lang w:val="en-US"/>
        </w:rPr>
        <w:t>P</w:t>
      </w:r>
      <w:r w:rsidRPr="003F4F44">
        <w:rPr>
          <w:rFonts w:ascii="Times New Roman" w:hAnsi="Times New Roman"/>
          <w:sz w:val="28"/>
          <w:szCs w:val="28"/>
        </w:rPr>
        <w:t>. 20-27.</w:t>
      </w:r>
    </w:p>
    <w:p w:rsidR="0052525C" w:rsidRDefault="0052525C" w:rsidP="00667DFE">
      <w:pPr>
        <w:spacing w:after="0" w:line="360" w:lineRule="auto"/>
        <w:ind w:firstLine="709"/>
        <w:jc w:val="both"/>
        <w:rPr>
          <w:rFonts w:ascii="Times New Roman" w:hAnsi="Times New Roman"/>
          <w:sz w:val="28"/>
          <w:szCs w:val="28"/>
        </w:rPr>
      </w:pPr>
      <w:r>
        <w:t xml:space="preserve">10. </w:t>
      </w:r>
      <w:r w:rsidRPr="003F4F44">
        <w:t>Ахметов К.К. Функциональное значение структур тегумента трематод. //Матер.междунар. научно-практ. конф., посвященной 10-летию Независимости Республики Казахстан. – Кокшетау, 2001. – 5. – С. 86-90.</w:t>
      </w:r>
    </w:p>
    <w:p w:rsidR="0052525C" w:rsidRDefault="0052525C" w:rsidP="00387F02">
      <w:pPr>
        <w:pStyle w:val="NoSpacing"/>
        <w:tabs>
          <w:tab w:val="center" w:pos="5173"/>
          <w:tab w:val="right" w:pos="9638"/>
        </w:tabs>
        <w:spacing w:line="360" w:lineRule="auto"/>
        <w:ind w:firstLine="709"/>
        <w:rPr>
          <w:rFonts w:ascii="Times New Roman" w:hAnsi="Times New Roman"/>
          <w:sz w:val="28"/>
          <w:szCs w:val="28"/>
        </w:rPr>
      </w:pPr>
      <w:bookmarkStart w:id="0" w:name="_GoBack"/>
      <w:bookmarkEnd w:id="0"/>
    </w:p>
    <w:sectPr w:rsidR="0052525C" w:rsidSect="00EF47E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7BE7"/>
    <w:rsid w:val="000117E0"/>
    <w:rsid w:val="00031095"/>
    <w:rsid w:val="00036225"/>
    <w:rsid w:val="0004530E"/>
    <w:rsid w:val="00087EA4"/>
    <w:rsid w:val="000D695F"/>
    <w:rsid w:val="000F1FE8"/>
    <w:rsid w:val="001C1D1D"/>
    <w:rsid w:val="001C4F52"/>
    <w:rsid w:val="002076E3"/>
    <w:rsid w:val="00235B0D"/>
    <w:rsid w:val="00244538"/>
    <w:rsid w:val="002540C8"/>
    <w:rsid w:val="00273F85"/>
    <w:rsid w:val="00275383"/>
    <w:rsid w:val="0028028E"/>
    <w:rsid w:val="00293EB1"/>
    <w:rsid w:val="002E35BE"/>
    <w:rsid w:val="003034DD"/>
    <w:rsid w:val="00307178"/>
    <w:rsid w:val="0031197A"/>
    <w:rsid w:val="00344519"/>
    <w:rsid w:val="0038078B"/>
    <w:rsid w:val="00384B43"/>
    <w:rsid w:val="00387F02"/>
    <w:rsid w:val="003E5EAB"/>
    <w:rsid w:val="003F4F44"/>
    <w:rsid w:val="003F7BE7"/>
    <w:rsid w:val="00465EEF"/>
    <w:rsid w:val="00510B65"/>
    <w:rsid w:val="00521782"/>
    <w:rsid w:val="0052525C"/>
    <w:rsid w:val="00557B50"/>
    <w:rsid w:val="005B3347"/>
    <w:rsid w:val="00667DFE"/>
    <w:rsid w:val="006A097F"/>
    <w:rsid w:val="006B746B"/>
    <w:rsid w:val="007974B7"/>
    <w:rsid w:val="00806F02"/>
    <w:rsid w:val="00823CE2"/>
    <w:rsid w:val="00854CEF"/>
    <w:rsid w:val="00881C27"/>
    <w:rsid w:val="008D1007"/>
    <w:rsid w:val="0090055C"/>
    <w:rsid w:val="00903D45"/>
    <w:rsid w:val="009178F9"/>
    <w:rsid w:val="009B4FD9"/>
    <w:rsid w:val="009B5D0D"/>
    <w:rsid w:val="00AE0EA9"/>
    <w:rsid w:val="00BE0F81"/>
    <w:rsid w:val="00C8654D"/>
    <w:rsid w:val="00CA2728"/>
    <w:rsid w:val="00CE76A6"/>
    <w:rsid w:val="00D37C51"/>
    <w:rsid w:val="00DA50B2"/>
    <w:rsid w:val="00DE67E5"/>
    <w:rsid w:val="00E37545"/>
    <w:rsid w:val="00E46958"/>
    <w:rsid w:val="00EC71DC"/>
    <w:rsid w:val="00ED2FB3"/>
    <w:rsid w:val="00ED3A80"/>
    <w:rsid w:val="00EE3634"/>
    <w:rsid w:val="00EF47E0"/>
    <w:rsid w:val="00F35F21"/>
    <w:rsid w:val="00F84E54"/>
    <w:rsid w:val="00FA745D"/>
    <w:rsid w:val="00FD7E34"/>
    <w:rsid w:val="00FE034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CEF"/>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E3634"/>
    <w:rPr>
      <w:lang w:val="ru-RU" w:eastAsia="en-US"/>
    </w:rPr>
  </w:style>
  <w:style w:type="table" w:styleId="TableGrid">
    <w:name w:val="Table Grid"/>
    <w:basedOn w:val="TableNormal"/>
    <w:uiPriority w:val="99"/>
    <w:rsid w:val="00854CEF"/>
    <w:rPr>
      <w:rFonts w:eastAsia="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21698161">
      <w:marLeft w:val="0"/>
      <w:marRight w:val="0"/>
      <w:marTop w:val="0"/>
      <w:marBottom w:val="0"/>
      <w:divBdr>
        <w:top w:val="none" w:sz="0" w:space="0" w:color="auto"/>
        <w:left w:val="none" w:sz="0" w:space="0" w:color="auto"/>
        <w:bottom w:val="none" w:sz="0" w:space="0" w:color="auto"/>
        <w:right w:val="none" w:sz="0" w:space="0" w:color="auto"/>
      </w:divBdr>
    </w:div>
    <w:div w:id="8216981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7</Pages>
  <Words>7738</Words>
  <Characters>4412</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31</cp:revision>
  <dcterms:created xsi:type="dcterms:W3CDTF">2016-04-15T15:22:00Z</dcterms:created>
  <dcterms:modified xsi:type="dcterms:W3CDTF">2016-04-28T20:42:00Z</dcterms:modified>
</cp:coreProperties>
</file>